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41C" w:rsidRPr="00094508" w:rsidRDefault="0008041C" w:rsidP="00094508">
      <w:pPr>
        <w:spacing w:after="0" w:line="360" w:lineRule="auto"/>
        <w:contextualSpacing/>
        <w:rPr>
          <w:rFonts w:ascii="Times New Roman" w:hAnsi="Times New Roman" w:cs="Times New Roman"/>
          <w:sz w:val="24"/>
          <w:szCs w:val="24"/>
        </w:rPr>
      </w:pPr>
      <w:r w:rsidRPr="00094508">
        <w:rPr>
          <w:rFonts w:ascii="Times New Roman" w:hAnsi="Times New Roman" w:cs="Times New Roman"/>
          <w:sz w:val="24"/>
          <w:szCs w:val="24"/>
        </w:rPr>
        <w:t xml:space="preserve">APPENDIX </w:t>
      </w:r>
      <w:r w:rsidR="00124CE3" w:rsidRPr="00094508">
        <w:rPr>
          <w:rFonts w:ascii="Times New Roman" w:hAnsi="Times New Roman" w:cs="Times New Roman"/>
          <w:sz w:val="24"/>
          <w:szCs w:val="24"/>
        </w:rPr>
        <w:t>2</w:t>
      </w:r>
      <w:r w:rsidR="004A70D8">
        <w:rPr>
          <w:rFonts w:ascii="Times New Roman" w:hAnsi="Times New Roman" w:cs="Times New Roman"/>
          <w:sz w:val="24"/>
          <w:szCs w:val="24"/>
        </w:rPr>
        <w:t>:</w:t>
      </w:r>
      <w:r w:rsidR="00124CE3" w:rsidRPr="00094508">
        <w:rPr>
          <w:rFonts w:ascii="Times New Roman" w:hAnsi="Times New Roman" w:cs="Times New Roman"/>
          <w:sz w:val="24"/>
          <w:szCs w:val="24"/>
        </w:rPr>
        <w:t xml:space="preserve"> </w:t>
      </w:r>
      <w:r w:rsidR="00DA786B" w:rsidRPr="00094508">
        <w:rPr>
          <w:rFonts w:ascii="Times New Roman" w:hAnsi="Times New Roman" w:cs="Times New Roman"/>
          <w:sz w:val="24"/>
          <w:szCs w:val="24"/>
        </w:rPr>
        <w:t>Inequality and Power</w:t>
      </w:r>
    </w:p>
    <w:p w:rsidR="007949B3" w:rsidRPr="00094508" w:rsidRDefault="007949B3" w:rsidP="00094508">
      <w:pPr>
        <w:spacing w:after="0" w:line="360" w:lineRule="auto"/>
        <w:contextualSpacing/>
        <w:rPr>
          <w:rFonts w:ascii="Times New Roman" w:hAnsi="Times New Roman" w:cs="Times New Roman"/>
          <w:sz w:val="24"/>
          <w:szCs w:val="24"/>
        </w:rPr>
      </w:pPr>
    </w:p>
    <w:p w:rsidR="0008041C" w:rsidRPr="00094508" w:rsidRDefault="00FF241C" w:rsidP="00094508">
      <w:pPr>
        <w:spacing w:after="0" w:line="360" w:lineRule="auto"/>
        <w:contextualSpacing/>
        <w:rPr>
          <w:rFonts w:ascii="Times New Roman" w:hAnsi="Times New Roman" w:cs="Times New Roman"/>
          <w:b/>
          <w:sz w:val="24"/>
        </w:rPr>
      </w:pPr>
      <w:r w:rsidRPr="00094508">
        <w:rPr>
          <w:rFonts w:ascii="Times New Roman" w:hAnsi="Times New Roman" w:cs="Times New Roman"/>
          <w:b/>
          <w:sz w:val="24"/>
          <w:szCs w:val="24"/>
        </w:rPr>
        <w:t>Life at the bottom</w:t>
      </w:r>
    </w:p>
    <w:p w:rsidR="0008041C" w:rsidRDefault="0008041C" w:rsidP="00094508">
      <w:pPr>
        <w:spacing w:after="0" w:line="360" w:lineRule="auto"/>
        <w:contextualSpacing/>
        <w:rPr>
          <w:rFonts w:ascii="Times New Roman" w:hAnsi="Times New Roman" w:cs="Times New Roman"/>
          <w:sz w:val="24"/>
          <w:szCs w:val="24"/>
        </w:rPr>
      </w:pPr>
      <w:r w:rsidRPr="00094508">
        <w:rPr>
          <w:rFonts w:ascii="Times New Roman" w:hAnsi="Times New Roman" w:cs="Times New Roman"/>
          <w:sz w:val="24"/>
          <w:szCs w:val="24"/>
        </w:rPr>
        <w:t xml:space="preserve">Those at the bottom of Australia’s economic strata typically have casual, part time, or intermittent jobs. They are often subject to employers who pay less than the statutory minimum wage (of $694.90 per week in 2017), </w:t>
      </w:r>
      <w:r w:rsidR="001E2A81">
        <w:rPr>
          <w:rFonts w:ascii="Times New Roman" w:hAnsi="Times New Roman" w:cs="Times New Roman"/>
          <w:sz w:val="24"/>
          <w:szCs w:val="24"/>
        </w:rPr>
        <w:t xml:space="preserve">and </w:t>
      </w:r>
      <w:r w:rsidRPr="00094508">
        <w:rPr>
          <w:rFonts w:ascii="Times New Roman" w:hAnsi="Times New Roman" w:cs="Times New Roman"/>
          <w:sz w:val="24"/>
          <w:szCs w:val="24"/>
        </w:rPr>
        <w:t>do not pay statutory entitlements such as sick leave, superannuation, holiday pay, overtime wages or redundancy payments.</w:t>
      </w:r>
      <w:r w:rsidR="003D6034" w:rsidRPr="00094508">
        <w:rPr>
          <w:rFonts w:ascii="Times New Roman" w:hAnsi="Times New Roman" w:cs="Times New Roman"/>
          <w:sz w:val="24"/>
          <w:szCs w:val="24"/>
        </w:rPr>
        <w:t xml:space="preserve"> </w:t>
      </w:r>
      <w:r w:rsidRPr="00094508">
        <w:rPr>
          <w:rFonts w:ascii="Times New Roman" w:hAnsi="Times New Roman" w:cs="Times New Roman"/>
          <w:sz w:val="24"/>
          <w:szCs w:val="24"/>
        </w:rPr>
        <w:t>From time to time they become officially ‘unemployed’. Persons are not recognised as ‘unemployed’ unless they are actively looking for work, which means that they must have:</w:t>
      </w:r>
    </w:p>
    <w:p w:rsidR="0008041C" w:rsidRPr="00094508" w:rsidRDefault="0008041C" w:rsidP="00094508">
      <w:pPr>
        <w:spacing w:after="0" w:line="360" w:lineRule="auto"/>
        <w:ind w:left="567" w:right="521"/>
        <w:contextualSpacing/>
        <w:rPr>
          <w:rFonts w:ascii="Times New Roman" w:hAnsi="Times New Roman" w:cs="Times New Roman"/>
          <w:sz w:val="24"/>
          <w:szCs w:val="24"/>
        </w:rPr>
      </w:pPr>
      <w:r w:rsidRPr="00094508">
        <w:rPr>
          <w:rFonts w:ascii="Times New Roman" w:hAnsi="Times New Roman" w:cs="Times New Roman"/>
          <w:sz w:val="24"/>
          <w:szCs w:val="24"/>
        </w:rPr>
        <w:t>Written, telephoned or applied to an employer; had an interview with an employer for work; answered an advertisement for a job; checked or registered with an employment agency; taken steps to purchase or start their own business; advertised or tendered for work; and contacted friends or relatives to find work</w:t>
      </w:r>
      <w:r w:rsidR="001E2A81">
        <w:rPr>
          <w:rFonts w:ascii="Times New Roman" w:hAnsi="Times New Roman" w:cs="Times New Roman"/>
          <w:sz w:val="24"/>
          <w:szCs w:val="24"/>
        </w:rPr>
        <w:t xml:space="preserve">. </w:t>
      </w:r>
      <w:r w:rsidR="001E2A81" w:rsidRPr="00C26161">
        <w:rPr>
          <w:rFonts w:ascii="Times New Roman" w:hAnsi="Times New Roman" w:cs="Times New Roman"/>
          <w:sz w:val="24"/>
          <w:szCs w:val="24"/>
        </w:rPr>
        <w:t>(Australian Bureau of Statistics, 2018)</w:t>
      </w:r>
      <w:r w:rsidRPr="00094508">
        <w:rPr>
          <w:rStyle w:val="FootnoteReference"/>
          <w:rFonts w:ascii="Times New Roman" w:hAnsi="Times New Roman" w:cs="Times New Roman"/>
          <w:sz w:val="24"/>
          <w:szCs w:val="24"/>
          <w:highlight w:val="yellow"/>
        </w:rPr>
        <w:footnoteReference w:id="1"/>
      </w:r>
    </w:p>
    <w:p w:rsidR="0008041C" w:rsidRPr="00094508" w:rsidRDefault="0008041C" w:rsidP="00094508">
      <w:pPr>
        <w:spacing w:after="0" w:line="360" w:lineRule="auto"/>
        <w:contextualSpacing/>
        <w:rPr>
          <w:rFonts w:ascii="Times New Roman" w:hAnsi="Times New Roman" w:cs="Times New Roman"/>
          <w:sz w:val="24"/>
          <w:szCs w:val="24"/>
        </w:rPr>
      </w:pPr>
      <w:r w:rsidRPr="00094508">
        <w:rPr>
          <w:rFonts w:ascii="Times New Roman" w:hAnsi="Times New Roman" w:cs="Times New Roman"/>
          <w:sz w:val="24"/>
          <w:szCs w:val="24"/>
        </w:rPr>
        <w:t>Merely scanning newspapers or websites for jobs does not count as ‘actively’ seeking work. According to the Australian Bureau of Statistics ‘not in employment’ (aka unemployed) means that a person during a week (the ‘reference week’), ‘should not have undertaken any work at all (not even for one hour)’</w:t>
      </w:r>
      <w:r w:rsidR="001E2A81">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2"/>
      </w:r>
      <w:r w:rsidRPr="00094508">
        <w:rPr>
          <w:rFonts w:ascii="Times New Roman" w:hAnsi="Times New Roman" w:cs="Times New Roman"/>
          <w:sz w:val="24"/>
          <w:szCs w:val="24"/>
        </w:rPr>
        <w:t xml:space="preserve"> The unemployment rate in Australia between 2012 and 2018 ranged between 5 and 6 per cent of the workforce</w:t>
      </w:r>
      <w:r w:rsidR="001E2A81">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3"/>
      </w:r>
    </w:p>
    <w:p w:rsidR="0008041C" w:rsidRPr="00094508" w:rsidRDefault="0008041C"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Income support for the unemployed in Australia (social security) is a non-contributory entitlement – that is</w:t>
      </w:r>
      <w:r w:rsidR="001E2A81">
        <w:rPr>
          <w:rFonts w:ascii="Times New Roman" w:hAnsi="Times New Roman" w:cs="Times New Roman"/>
          <w:sz w:val="24"/>
          <w:szCs w:val="24"/>
        </w:rPr>
        <w:t>,</w:t>
      </w:r>
      <w:r w:rsidRPr="00094508">
        <w:rPr>
          <w:rFonts w:ascii="Times New Roman" w:hAnsi="Times New Roman" w:cs="Times New Roman"/>
          <w:sz w:val="24"/>
          <w:szCs w:val="24"/>
        </w:rPr>
        <w:t xml:space="preserve"> unlike social insurance schemes to which there is regular contribution during working life. Payment comes from the Commonwealth budget as a ‘transfer payment’. The rate for a single person without children is $550.20 per fortnight or about $39 per day. For a couple the allowance is $496.70 each per fortnight, and for a single person with a </w:t>
      </w:r>
      <w:r w:rsidRPr="00094508">
        <w:rPr>
          <w:rFonts w:ascii="Times New Roman" w:hAnsi="Times New Roman" w:cs="Times New Roman"/>
          <w:sz w:val="24"/>
          <w:szCs w:val="24"/>
        </w:rPr>
        <w:lastRenderedPageBreak/>
        <w:t>dependent child, $595.10. Eligibility starts from the age of 22 up to pensionable age</w:t>
      </w:r>
      <w:r w:rsidR="001E2A81">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4"/>
      </w:r>
      <w:r w:rsidRPr="00094508">
        <w:rPr>
          <w:rFonts w:ascii="Times New Roman" w:hAnsi="Times New Roman" w:cs="Times New Roman"/>
          <w:sz w:val="24"/>
          <w:szCs w:val="24"/>
        </w:rPr>
        <w:t xml:space="preserve"> Unemployment benefit plus rent assistance provides $680 per fortnight. Various ‘waiting periods’ apply before a person can receive payment (of up to two years in the case of a new resident). Applicants must be able to prove regularly that they are actively seeking work.</w:t>
      </w:r>
    </w:p>
    <w:p w:rsidR="0008041C" w:rsidRPr="00094508" w:rsidRDefault="0008041C" w:rsidP="00094508">
      <w:pPr>
        <w:spacing w:after="0" w:line="360" w:lineRule="auto"/>
        <w:contextualSpacing/>
        <w:rPr>
          <w:rFonts w:ascii="Times New Roman" w:hAnsi="Times New Roman" w:cs="Times New Roman"/>
          <w:sz w:val="24"/>
          <w:szCs w:val="24"/>
        </w:rPr>
      </w:pPr>
      <w:r w:rsidRPr="00094508">
        <w:rPr>
          <w:rFonts w:ascii="Times New Roman" w:hAnsi="Times New Roman" w:cs="Times New Roman"/>
          <w:sz w:val="24"/>
          <w:szCs w:val="24"/>
        </w:rPr>
        <w:t>Rental prices in Melbourne’s most affordable suburbs range between $300 and $360 per fortnight per room</w:t>
      </w:r>
      <w:r w:rsidR="001E2A81">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5"/>
      </w:r>
      <w:r w:rsidRPr="00094508">
        <w:rPr>
          <w:rFonts w:ascii="Times New Roman" w:hAnsi="Times New Roman" w:cs="Times New Roman"/>
          <w:sz w:val="24"/>
          <w:szCs w:val="24"/>
        </w:rPr>
        <w:t xml:space="preserve"> Elsewhere</w:t>
      </w:r>
      <w:r w:rsidR="001E2A81">
        <w:rPr>
          <w:rFonts w:ascii="Times New Roman" w:hAnsi="Times New Roman" w:cs="Times New Roman"/>
          <w:sz w:val="24"/>
          <w:szCs w:val="24"/>
        </w:rPr>
        <w:t>,</w:t>
      </w:r>
      <w:r w:rsidRPr="00094508">
        <w:rPr>
          <w:rFonts w:ascii="Times New Roman" w:hAnsi="Times New Roman" w:cs="Times New Roman"/>
          <w:sz w:val="24"/>
          <w:szCs w:val="24"/>
        </w:rPr>
        <w:t xml:space="preserve"> rents can be much higher: around $700 per fortnight for a ‘studio’ flat of 45 square metres</w:t>
      </w:r>
      <w:r w:rsidR="001E2A81">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6"/>
      </w:r>
      <w:r w:rsidRPr="00094508">
        <w:rPr>
          <w:rFonts w:ascii="Times New Roman" w:hAnsi="Times New Roman" w:cs="Times New Roman"/>
          <w:sz w:val="24"/>
          <w:szCs w:val="24"/>
        </w:rPr>
        <w:t xml:space="preserve"> So after rent is paid there is not much left for food, electricity and gas (an average electricity bill for two people in Australia is about $66 per fortnight), personal hygiene, household cleaning, washing, clothes, transport (a monthly ticket on public transport costs $146, running a car much more), electronic communications, let alone entertainment, especially for the single parent. If you are lucky enough to get into public housing, the rent will not be more than 25 per</w:t>
      </w:r>
      <w:r w:rsidR="001E2A81">
        <w:rPr>
          <w:rFonts w:ascii="Times New Roman" w:hAnsi="Times New Roman" w:cs="Times New Roman"/>
          <w:sz w:val="24"/>
          <w:szCs w:val="24"/>
        </w:rPr>
        <w:t xml:space="preserve"> </w:t>
      </w:r>
      <w:r w:rsidRPr="00094508">
        <w:rPr>
          <w:rFonts w:ascii="Times New Roman" w:hAnsi="Times New Roman" w:cs="Times New Roman"/>
          <w:sz w:val="24"/>
          <w:szCs w:val="24"/>
        </w:rPr>
        <w:t xml:space="preserve">cent of your total household income, which is what the Victorian </w:t>
      </w:r>
      <w:r w:rsidR="001E2A81">
        <w:rPr>
          <w:rFonts w:ascii="Times New Roman" w:hAnsi="Times New Roman" w:cs="Times New Roman"/>
          <w:sz w:val="24"/>
          <w:szCs w:val="24"/>
        </w:rPr>
        <w:t>g</w:t>
      </w:r>
      <w:r w:rsidRPr="00094508">
        <w:rPr>
          <w:rFonts w:ascii="Times New Roman" w:hAnsi="Times New Roman" w:cs="Times New Roman"/>
          <w:sz w:val="24"/>
          <w:szCs w:val="24"/>
        </w:rPr>
        <w:t>overnment reckons is the safe proportion of income going to accommodation</w:t>
      </w:r>
      <w:r w:rsidR="001E2A81">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7"/>
      </w:r>
      <w:r w:rsidRPr="00094508">
        <w:rPr>
          <w:rFonts w:ascii="Times New Roman" w:hAnsi="Times New Roman" w:cs="Times New Roman"/>
          <w:sz w:val="24"/>
          <w:szCs w:val="24"/>
        </w:rPr>
        <w:t xml:space="preserve"> But the waiting list for public housing in Melbourne </w:t>
      </w:r>
      <w:r w:rsidR="007A4972" w:rsidRPr="00094508">
        <w:rPr>
          <w:rFonts w:ascii="Times New Roman" w:hAnsi="Times New Roman" w:cs="Times New Roman"/>
          <w:sz w:val="24"/>
          <w:szCs w:val="24"/>
        </w:rPr>
        <w:t>was</w:t>
      </w:r>
      <w:r w:rsidRPr="00094508">
        <w:rPr>
          <w:rFonts w:ascii="Times New Roman" w:hAnsi="Times New Roman" w:cs="Times New Roman"/>
          <w:sz w:val="24"/>
          <w:szCs w:val="24"/>
        </w:rPr>
        <w:t xml:space="preserve"> 82,000 </w:t>
      </w:r>
      <w:r w:rsidR="007A4972" w:rsidRPr="00094508">
        <w:rPr>
          <w:rFonts w:ascii="Times New Roman" w:hAnsi="Times New Roman" w:cs="Times New Roman"/>
          <w:sz w:val="24"/>
          <w:szCs w:val="24"/>
        </w:rPr>
        <w:t xml:space="preserve">in 2018, </w:t>
      </w:r>
      <w:r w:rsidRPr="00094508">
        <w:rPr>
          <w:rFonts w:ascii="Times New Roman" w:hAnsi="Times New Roman" w:cs="Times New Roman"/>
          <w:sz w:val="24"/>
          <w:szCs w:val="24"/>
        </w:rPr>
        <w:t>and growing at 500 per week</w:t>
      </w:r>
      <w:r w:rsidR="001E2A81">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8"/>
      </w:r>
    </w:p>
    <w:p w:rsidR="0008041C" w:rsidRPr="00094508" w:rsidRDefault="0008041C"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 xml:space="preserve">Centrelink, commencing operations in 1997, is an agency of the Commonwealth Department of Human Services charged with providing social security payments to people in need, mainly the unemployed. From 2016, using an automated process, Centrelink began matching welfare recipients’ social security records against data from the Australian Taxation Office relating to their employment. Centrelink was not required to verify the information about the alleged debt; instead individuals were required to prove that they did not owe the demanded funds. Automated debt recovery was estimated to save the government some </w:t>
      </w:r>
      <w:r w:rsidR="007A4972" w:rsidRPr="00094508">
        <w:rPr>
          <w:rFonts w:ascii="Times New Roman" w:hAnsi="Times New Roman" w:cs="Times New Roman"/>
          <w:sz w:val="24"/>
          <w:szCs w:val="24"/>
        </w:rPr>
        <w:t>AU</w:t>
      </w:r>
      <w:r w:rsidRPr="00094508">
        <w:rPr>
          <w:rFonts w:ascii="Times New Roman" w:hAnsi="Times New Roman" w:cs="Times New Roman"/>
          <w:sz w:val="24"/>
          <w:szCs w:val="24"/>
        </w:rPr>
        <w:t>$661 million annually.</w:t>
      </w:r>
    </w:p>
    <w:p w:rsidR="00F24A4C" w:rsidRDefault="0008041C"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lastRenderedPageBreak/>
        <w:t>Automated debt collect</w:t>
      </w:r>
      <w:r w:rsidR="00FF241C" w:rsidRPr="00094508">
        <w:rPr>
          <w:rFonts w:ascii="Times New Roman" w:hAnsi="Times New Roman" w:cs="Times New Roman"/>
          <w:sz w:val="24"/>
          <w:szCs w:val="24"/>
        </w:rPr>
        <w:t>ion</w:t>
      </w:r>
      <w:r w:rsidR="00F24A4C">
        <w:rPr>
          <w:rFonts w:ascii="Times New Roman" w:hAnsi="Times New Roman" w:cs="Times New Roman"/>
          <w:sz w:val="24"/>
          <w:szCs w:val="24"/>
        </w:rPr>
        <w:t>,</w:t>
      </w:r>
      <w:r w:rsidR="00FF241C" w:rsidRPr="00094508">
        <w:rPr>
          <w:rFonts w:ascii="Times New Roman" w:hAnsi="Times New Roman" w:cs="Times New Roman"/>
          <w:sz w:val="24"/>
          <w:szCs w:val="24"/>
        </w:rPr>
        <w:t xml:space="preserve"> which became known as ‘robo</w:t>
      </w:r>
      <w:r w:rsidRPr="00094508">
        <w:rPr>
          <w:rFonts w:ascii="Times New Roman" w:hAnsi="Times New Roman" w:cs="Times New Roman"/>
          <w:sz w:val="24"/>
          <w:szCs w:val="24"/>
        </w:rPr>
        <w:t>debt’</w:t>
      </w:r>
      <w:r w:rsidR="00F24A4C">
        <w:rPr>
          <w:rFonts w:ascii="Times New Roman" w:hAnsi="Times New Roman" w:cs="Times New Roman"/>
          <w:sz w:val="24"/>
          <w:szCs w:val="24"/>
        </w:rPr>
        <w:t>,</w:t>
      </w:r>
      <w:r w:rsidRPr="00094508">
        <w:rPr>
          <w:rFonts w:ascii="Times New Roman" w:hAnsi="Times New Roman" w:cs="Times New Roman"/>
          <w:sz w:val="24"/>
          <w:szCs w:val="24"/>
        </w:rPr>
        <w:t xml:space="preserve"> resulted in numerous unverified claims for alleged debt resulting in extreme anxiety for vulnerable welfare recipients. At a</w:t>
      </w:r>
      <w:r w:rsidR="00FF241C" w:rsidRPr="00094508">
        <w:rPr>
          <w:rFonts w:ascii="Times New Roman" w:hAnsi="Times New Roman" w:cs="Times New Roman"/>
          <w:sz w:val="24"/>
          <w:szCs w:val="24"/>
        </w:rPr>
        <w:t xml:space="preserve"> 2017 Senate Inquiry into ‘robo</w:t>
      </w:r>
      <w:r w:rsidRPr="00094508">
        <w:rPr>
          <w:rFonts w:ascii="Times New Roman" w:hAnsi="Times New Roman" w:cs="Times New Roman"/>
          <w:sz w:val="24"/>
          <w:szCs w:val="24"/>
        </w:rPr>
        <w:t>debt’, Australian Council of Social Service CEO, Cassandra Goldie said</w:t>
      </w:r>
      <w:r w:rsidR="00F24A4C">
        <w:rPr>
          <w:rFonts w:ascii="Times New Roman" w:hAnsi="Times New Roman" w:cs="Times New Roman"/>
          <w:sz w:val="24"/>
          <w:szCs w:val="24"/>
        </w:rPr>
        <w:t>:</w:t>
      </w:r>
    </w:p>
    <w:p w:rsidR="00F24A4C" w:rsidRDefault="0008041C" w:rsidP="00094508">
      <w:pPr>
        <w:spacing w:after="0" w:line="360" w:lineRule="auto"/>
        <w:ind w:left="567" w:right="521"/>
        <w:contextualSpacing/>
        <w:rPr>
          <w:rFonts w:ascii="Times New Roman" w:hAnsi="Times New Roman" w:cs="Times New Roman"/>
          <w:sz w:val="24"/>
          <w:szCs w:val="24"/>
        </w:rPr>
      </w:pPr>
      <w:r w:rsidRPr="00094508">
        <w:rPr>
          <w:rFonts w:ascii="Times New Roman" w:hAnsi="Times New Roman" w:cs="Times New Roman"/>
          <w:sz w:val="24"/>
          <w:szCs w:val="24"/>
        </w:rPr>
        <w:t>Since i</w:t>
      </w:r>
      <w:r w:rsidR="00FF241C" w:rsidRPr="00094508">
        <w:rPr>
          <w:rFonts w:ascii="Times New Roman" w:hAnsi="Times New Roman" w:cs="Times New Roman"/>
          <w:sz w:val="24"/>
          <w:szCs w:val="24"/>
        </w:rPr>
        <w:t>ts adoption 12 months ago, robo</w:t>
      </w:r>
      <w:r w:rsidRPr="00094508">
        <w:rPr>
          <w:rFonts w:ascii="Times New Roman" w:hAnsi="Times New Roman" w:cs="Times New Roman"/>
          <w:sz w:val="24"/>
          <w:szCs w:val="24"/>
        </w:rPr>
        <w:t xml:space="preserve">debt has issued thousands of debt notices in error to parents, people with disabilities, carers and those seeking paid work, resulting in people slapped with Centrelink debts they do not owe or debts higher than what they owe </w:t>
      </w:r>
      <w:r w:rsidR="00F24A4C">
        <w:rPr>
          <w:rFonts w:ascii="Times New Roman" w:hAnsi="Times New Roman" w:cs="Times New Roman"/>
          <w:sz w:val="24"/>
          <w:szCs w:val="24"/>
        </w:rPr>
        <w:t>. . .</w:t>
      </w:r>
      <w:r w:rsidRPr="00094508">
        <w:rPr>
          <w:rFonts w:ascii="Times New Roman" w:hAnsi="Times New Roman" w:cs="Times New Roman"/>
          <w:sz w:val="24"/>
          <w:szCs w:val="24"/>
        </w:rPr>
        <w:t xml:space="preserve"> It has been a devastating abuse of government power that has caused extensive harm, particularly among people who are the most vulnerable in our community</w:t>
      </w:r>
      <w:r w:rsidR="00F24A4C">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9"/>
      </w:r>
      <w:r w:rsidRPr="00094508">
        <w:rPr>
          <w:rFonts w:ascii="Times New Roman" w:hAnsi="Times New Roman" w:cs="Times New Roman"/>
          <w:sz w:val="24"/>
          <w:szCs w:val="24"/>
        </w:rPr>
        <w:t xml:space="preserve"> </w:t>
      </w:r>
    </w:p>
    <w:p w:rsidR="0008041C" w:rsidRPr="00094508" w:rsidRDefault="0008041C" w:rsidP="00094508">
      <w:pPr>
        <w:spacing w:after="0" w:line="360" w:lineRule="auto"/>
        <w:contextualSpacing/>
        <w:rPr>
          <w:rFonts w:ascii="Times New Roman" w:hAnsi="Times New Roman" w:cs="Times New Roman"/>
          <w:sz w:val="24"/>
          <w:szCs w:val="24"/>
        </w:rPr>
      </w:pPr>
      <w:r w:rsidRPr="00094508">
        <w:rPr>
          <w:rFonts w:ascii="Times New Roman" w:hAnsi="Times New Roman" w:cs="Times New Roman"/>
          <w:sz w:val="24"/>
          <w:szCs w:val="24"/>
        </w:rPr>
        <w:t>Centrelink was reported to have admitted ‘knowingly sending out as many as 4</w:t>
      </w:r>
      <w:r w:rsidR="00F24A4C">
        <w:rPr>
          <w:rFonts w:ascii="Times New Roman" w:hAnsi="Times New Roman" w:cs="Times New Roman"/>
          <w:sz w:val="24"/>
          <w:szCs w:val="24"/>
        </w:rPr>
        <w:t>,</w:t>
      </w:r>
      <w:r w:rsidRPr="00094508">
        <w:rPr>
          <w:rFonts w:ascii="Times New Roman" w:hAnsi="Times New Roman" w:cs="Times New Roman"/>
          <w:sz w:val="24"/>
          <w:szCs w:val="24"/>
        </w:rPr>
        <w:t>000 incorrect debt notices a week’</w:t>
      </w:r>
      <w:r w:rsidR="00F24A4C">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10"/>
      </w:r>
    </w:p>
    <w:p w:rsidR="0008041C" w:rsidRPr="00094508" w:rsidRDefault="0008041C"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 xml:space="preserve">The problem arises because Centrelink’s algorithm matches recipients’ </w:t>
      </w:r>
      <w:r w:rsidRPr="00094508">
        <w:rPr>
          <w:rFonts w:ascii="Times New Roman" w:hAnsi="Times New Roman" w:cs="Times New Roman"/>
          <w:i/>
          <w:sz w:val="24"/>
          <w:szCs w:val="24"/>
        </w:rPr>
        <w:t>fortnightly</w:t>
      </w:r>
      <w:r w:rsidRPr="00094508">
        <w:rPr>
          <w:rFonts w:ascii="Times New Roman" w:hAnsi="Times New Roman" w:cs="Times New Roman"/>
          <w:sz w:val="24"/>
          <w:szCs w:val="24"/>
        </w:rPr>
        <w:t xml:space="preserve"> income (reported to Centrelink) with data provided by employers to the ATO </w:t>
      </w:r>
      <w:r w:rsidRPr="00094508">
        <w:rPr>
          <w:rFonts w:ascii="Times New Roman" w:hAnsi="Times New Roman" w:cs="Times New Roman"/>
          <w:i/>
          <w:sz w:val="24"/>
          <w:szCs w:val="24"/>
        </w:rPr>
        <w:t>annually</w:t>
      </w:r>
      <w:r w:rsidRPr="00094508">
        <w:rPr>
          <w:rFonts w:ascii="Times New Roman" w:hAnsi="Times New Roman" w:cs="Times New Roman"/>
          <w:sz w:val="24"/>
          <w:szCs w:val="24"/>
        </w:rPr>
        <w:t xml:space="preserve">, often with a significant delay. The latter data reports the </w:t>
      </w:r>
      <w:r w:rsidRPr="00094508">
        <w:rPr>
          <w:rFonts w:ascii="Times New Roman" w:hAnsi="Times New Roman" w:cs="Times New Roman"/>
          <w:i/>
          <w:sz w:val="24"/>
          <w:szCs w:val="24"/>
        </w:rPr>
        <w:t>average</w:t>
      </w:r>
      <w:r w:rsidRPr="00094508">
        <w:rPr>
          <w:rFonts w:ascii="Times New Roman" w:hAnsi="Times New Roman" w:cs="Times New Roman"/>
          <w:sz w:val="24"/>
          <w:szCs w:val="24"/>
        </w:rPr>
        <w:t xml:space="preserve"> annual income of an employee, not the employment of a person at any particular fortnightly period. When people who have questions for Centrelink try to phone the agency they find they cannot get through: ‘Nearly 48 million calls to Centrelink went unanswered last year (2017) as the agency failed again to meet its customer satisfaction targets</w:t>
      </w:r>
      <w:r w:rsidR="00F24A4C">
        <w:rPr>
          <w:rFonts w:ascii="Times New Roman" w:hAnsi="Times New Roman" w:cs="Times New Roman"/>
          <w:sz w:val="24"/>
          <w:szCs w:val="24"/>
        </w:rPr>
        <w:t>.</w:t>
      </w:r>
      <w:r w:rsidRPr="00094508">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11"/>
      </w:r>
      <w:r w:rsidRPr="00094508">
        <w:rPr>
          <w:rFonts w:ascii="Times New Roman" w:hAnsi="Times New Roman" w:cs="Times New Roman"/>
          <w:sz w:val="24"/>
          <w:szCs w:val="24"/>
        </w:rPr>
        <w:t xml:space="preserve"> It was further reported that, ‘Parents are being prevented from accessing the government’s childcare rebate and other family payments because Centrelink staff are blocking phone lines and fudging caller wait times when reporting back to their bosses</w:t>
      </w:r>
      <w:r w:rsidR="00F24A4C">
        <w:rPr>
          <w:rFonts w:ascii="Times New Roman" w:hAnsi="Times New Roman" w:cs="Times New Roman"/>
          <w:sz w:val="24"/>
          <w:szCs w:val="24"/>
        </w:rPr>
        <w:t>.</w:t>
      </w:r>
      <w:r w:rsidRPr="00094508">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12"/>
      </w:r>
    </w:p>
    <w:p w:rsidR="0008041C" w:rsidRPr="00094508" w:rsidRDefault="0008041C"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Life at the bottom is precarious. There is an ever present risk of simply not being able to keep up the daily payments of the costs of living. Emma King, CEO of the Victorian Council of Social Service, points out that more people are being pushed out of the owner occupation market as house prices rise</w:t>
      </w:r>
      <w:r w:rsidR="00F24A4C">
        <w:rPr>
          <w:rFonts w:ascii="Times New Roman" w:hAnsi="Times New Roman" w:cs="Times New Roman"/>
          <w:sz w:val="24"/>
          <w:szCs w:val="24"/>
        </w:rPr>
        <w:t>,</w:t>
      </w:r>
      <w:r w:rsidRPr="00094508">
        <w:rPr>
          <w:rFonts w:ascii="Times New Roman" w:hAnsi="Times New Roman" w:cs="Times New Roman"/>
          <w:sz w:val="24"/>
          <w:szCs w:val="24"/>
        </w:rPr>
        <w:t xml:space="preserve"> and are being forced to seek rental accommodation: ‘we</w:t>
      </w:r>
      <w:r w:rsidR="00F24A4C">
        <w:rPr>
          <w:rFonts w:ascii="Times New Roman" w:hAnsi="Times New Roman" w:cs="Times New Roman"/>
          <w:sz w:val="24"/>
          <w:szCs w:val="24"/>
        </w:rPr>
        <w:t>’</w:t>
      </w:r>
      <w:r w:rsidRPr="00094508">
        <w:rPr>
          <w:rFonts w:ascii="Times New Roman" w:hAnsi="Times New Roman" w:cs="Times New Roman"/>
          <w:sz w:val="24"/>
          <w:szCs w:val="24"/>
        </w:rPr>
        <w:t xml:space="preserve">re </w:t>
      </w:r>
      <w:r w:rsidRPr="00094508">
        <w:rPr>
          <w:rFonts w:ascii="Times New Roman" w:hAnsi="Times New Roman" w:cs="Times New Roman"/>
          <w:sz w:val="24"/>
          <w:szCs w:val="24"/>
        </w:rPr>
        <w:lastRenderedPageBreak/>
        <w:t>seeing people</w:t>
      </w:r>
      <w:r w:rsidR="00F24A4C">
        <w:rPr>
          <w:rFonts w:ascii="Times New Roman" w:hAnsi="Times New Roman" w:cs="Times New Roman"/>
          <w:sz w:val="24"/>
          <w:szCs w:val="24"/>
        </w:rPr>
        <w:t>’</w:t>
      </w:r>
      <w:r w:rsidRPr="00094508">
        <w:rPr>
          <w:rFonts w:ascii="Times New Roman" w:hAnsi="Times New Roman" w:cs="Times New Roman"/>
          <w:sz w:val="24"/>
          <w:szCs w:val="24"/>
        </w:rPr>
        <w:t xml:space="preserve">s wages stagnating as rents are climbing, which is very much a toxic mix, and </w:t>
      </w:r>
      <w:r w:rsidR="00F24A4C" w:rsidRPr="00094508">
        <w:rPr>
          <w:rFonts w:ascii="Times New Roman" w:hAnsi="Times New Roman" w:cs="Times New Roman"/>
          <w:sz w:val="24"/>
          <w:szCs w:val="24"/>
        </w:rPr>
        <w:t>we</w:t>
      </w:r>
      <w:r w:rsidR="00F24A4C">
        <w:rPr>
          <w:rFonts w:ascii="Times New Roman" w:hAnsi="Times New Roman" w:cs="Times New Roman"/>
          <w:sz w:val="24"/>
          <w:szCs w:val="24"/>
        </w:rPr>
        <w:t>’</w:t>
      </w:r>
      <w:r w:rsidR="00F24A4C" w:rsidRPr="00094508">
        <w:rPr>
          <w:rFonts w:ascii="Times New Roman" w:hAnsi="Times New Roman" w:cs="Times New Roman"/>
          <w:sz w:val="24"/>
          <w:szCs w:val="24"/>
        </w:rPr>
        <w:t xml:space="preserve">e </w:t>
      </w:r>
      <w:r w:rsidRPr="00094508">
        <w:rPr>
          <w:rFonts w:ascii="Times New Roman" w:hAnsi="Times New Roman" w:cs="Times New Roman"/>
          <w:sz w:val="24"/>
          <w:szCs w:val="24"/>
        </w:rPr>
        <w:t>seeing the impact of what is precarious work and unemployment</w:t>
      </w:r>
      <w:r w:rsidR="00F24A4C">
        <w:rPr>
          <w:rFonts w:ascii="Times New Roman" w:hAnsi="Times New Roman" w:cs="Times New Roman"/>
          <w:sz w:val="24"/>
          <w:szCs w:val="24"/>
        </w:rPr>
        <w:t>.</w:t>
      </w:r>
      <w:r w:rsidRPr="00094508">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13"/>
      </w:r>
    </w:p>
    <w:p w:rsidR="0008041C" w:rsidRPr="00094508" w:rsidRDefault="0008041C"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So much has changed since Liberal Prime Minister, Robert Menzies, told the Australian Parliament in 1944:</w:t>
      </w:r>
    </w:p>
    <w:p w:rsidR="0008041C" w:rsidRPr="00094508" w:rsidRDefault="0008041C" w:rsidP="00094508">
      <w:pPr>
        <w:spacing w:after="0" w:line="360" w:lineRule="auto"/>
        <w:ind w:left="567" w:right="521"/>
        <w:contextualSpacing/>
        <w:rPr>
          <w:rFonts w:ascii="Times New Roman" w:hAnsi="Times New Roman" w:cs="Times New Roman"/>
          <w:sz w:val="24"/>
          <w:szCs w:val="24"/>
        </w:rPr>
      </w:pPr>
      <w:r w:rsidRPr="00094508">
        <w:rPr>
          <w:rFonts w:ascii="Times New Roman" w:hAnsi="Times New Roman" w:cs="Times New Roman"/>
          <w:sz w:val="24"/>
          <w:szCs w:val="24"/>
        </w:rPr>
        <w:t xml:space="preserve">The moment we establish, or perpetuate, the principle that the citizen, in order to get something he needs or wants and to which he has looked forward, must prove his poverty, we convert him into a suppliant to the state for benevolence </w:t>
      </w:r>
      <w:r w:rsidR="00F24A4C">
        <w:rPr>
          <w:rFonts w:ascii="Times New Roman" w:hAnsi="Times New Roman" w:cs="Times New Roman"/>
          <w:sz w:val="24"/>
          <w:szCs w:val="24"/>
        </w:rPr>
        <w:t>. . .</w:t>
      </w:r>
      <w:r w:rsidRPr="00094508">
        <w:rPr>
          <w:rFonts w:ascii="Times New Roman" w:hAnsi="Times New Roman" w:cs="Times New Roman"/>
          <w:sz w:val="24"/>
          <w:szCs w:val="24"/>
        </w:rPr>
        <w:t xml:space="preserve"> That position is inconsistent with the proper dignity of the citizen in a democratic country</w:t>
      </w:r>
      <w:r w:rsidR="00F24A4C">
        <w:rPr>
          <w:rFonts w:ascii="Times New Roman" w:hAnsi="Times New Roman" w:cs="Times New Roman"/>
          <w:sz w:val="24"/>
          <w:szCs w:val="24"/>
        </w:rPr>
        <w:t>.</w:t>
      </w:r>
      <w:r w:rsidRPr="00094508">
        <w:rPr>
          <w:rFonts w:ascii="Times New Roman" w:hAnsi="Times New Roman" w:cs="Times New Roman"/>
          <w:sz w:val="24"/>
          <w:szCs w:val="24"/>
        </w:rPr>
        <w:t xml:space="preserve"> (</w:t>
      </w:r>
      <w:r w:rsidR="00F24A4C">
        <w:rPr>
          <w:rFonts w:ascii="Times New Roman" w:hAnsi="Times New Roman" w:cs="Times New Roman"/>
          <w:sz w:val="24"/>
          <w:szCs w:val="24"/>
        </w:rPr>
        <w:t>C</w:t>
      </w:r>
      <w:r w:rsidRPr="00094508">
        <w:rPr>
          <w:rFonts w:ascii="Times New Roman" w:hAnsi="Times New Roman" w:cs="Times New Roman"/>
          <w:sz w:val="24"/>
          <w:szCs w:val="24"/>
        </w:rPr>
        <w:t>ited by Dennis, 2018: 3)</w:t>
      </w:r>
    </w:p>
    <w:p w:rsidR="00FF241C" w:rsidRPr="00094508" w:rsidRDefault="0008041C" w:rsidP="00094508">
      <w:pPr>
        <w:spacing w:after="0" w:line="360" w:lineRule="auto"/>
        <w:contextualSpacing/>
        <w:rPr>
          <w:rFonts w:ascii="Times New Roman" w:hAnsi="Times New Roman" w:cs="Times New Roman"/>
          <w:sz w:val="24"/>
          <w:szCs w:val="24"/>
        </w:rPr>
      </w:pPr>
      <w:r w:rsidRPr="00094508">
        <w:rPr>
          <w:rFonts w:ascii="Times New Roman" w:hAnsi="Times New Roman" w:cs="Times New Roman"/>
          <w:sz w:val="24"/>
          <w:szCs w:val="24"/>
        </w:rPr>
        <w:t xml:space="preserve">A study carried out by the Food Foundation found that 4.7 million people in the UK had at times during a year ‘gone a whole day without eating because they could not afford enough food’. While the price of healthy food </w:t>
      </w:r>
      <w:r w:rsidR="00F24A4C">
        <w:rPr>
          <w:rFonts w:ascii="Times New Roman" w:hAnsi="Times New Roman" w:cs="Times New Roman"/>
          <w:sz w:val="24"/>
          <w:szCs w:val="24"/>
        </w:rPr>
        <w:t>has gone up</w:t>
      </w:r>
      <w:r w:rsidRPr="00094508">
        <w:rPr>
          <w:rFonts w:ascii="Times New Roman" w:hAnsi="Times New Roman" w:cs="Times New Roman"/>
          <w:sz w:val="24"/>
          <w:szCs w:val="24"/>
        </w:rPr>
        <w:t xml:space="preserve"> over the last ten years, ‘disposable income for the poorest 20 per cent of UK households has gone down every year since 2004’ (Taylor and Loopstra, 2016)</w:t>
      </w:r>
      <w:r w:rsidR="00F24A4C">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14"/>
      </w:r>
    </w:p>
    <w:p w:rsidR="0008041C" w:rsidRPr="00094508" w:rsidRDefault="0008041C"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A recent report by Professor Philip Alston for the United Nations reported that one fifth of the UK population live in poverty – 14 million people</w:t>
      </w:r>
      <w:r w:rsidR="00C662DC">
        <w:rPr>
          <w:rFonts w:ascii="Times New Roman" w:hAnsi="Times New Roman" w:cs="Times New Roman"/>
          <w:sz w:val="24"/>
          <w:szCs w:val="24"/>
        </w:rPr>
        <w:t xml:space="preserve"> –</w:t>
      </w:r>
      <w:r w:rsidRPr="00094508">
        <w:rPr>
          <w:rFonts w:ascii="Times New Roman" w:hAnsi="Times New Roman" w:cs="Times New Roman"/>
          <w:sz w:val="24"/>
          <w:szCs w:val="24"/>
        </w:rPr>
        <w:t xml:space="preserve"> 1.5 million are ‘destitute’ (Alston, 2018: 1). Interestingly, Alston reports on the welfare programme ‘Universal Credit’ in similar terms to the above discussion of Centrelink. He says</w:t>
      </w:r>
      <w:r w:rsidR="00C662DC">
        <w:rPr>
          <w:rFonts w:ascii="Times New Roman" w:hAnsi="Times New Roman" w:cs="Times New Roman"/>
          <w:sz w:val="24"/>
          <w:szCs w:val="24"/>
        </w:rPr>
        <w:t>:</w:t>
      </w:r>
      <w:r w:rsidRPr="00094508">
        <w:rPr>
          <w:rFonts w:ascii="Times New Roman" w:hAnsi="Times New Roman" w:cs="Times New Roman"/>
          <w:sz w:val="24"/>
          <w:szCs w:val="24"/>
        </w:rPr>
        <w:t xml:space="preserve"> ‘Many aspects of the design and rollout of the programme have suggested that the Department of Work and Pensions is more concerned with making economic savings and sending messages about lifestyles than responding to the multiple needs of those living with disability, job loss, housing insecurity, illness and the demands of parenting’ (</w:t>
      </w:r>
      <w:r w:rsidR="00C662DC">
        <w:rPr>
          <w:rFonts w:ascii="Times New Roman" w:hAnsi="Times New Roman" w:cs="Times New Roman"/>
          <w:sz w:val="24"/>
          <w:szCs w:val="24"/>
        </w:rPr>
        <w:t>2018</w:t>
      </w:r>
      <w:r w:rsidRPr="00094508">
        <w:rPr>
          <w:rFonts w:ascii="Times New Roman" w:hAnsi="Times New Roman" w:cs="Times New Roman"/>
          <w:sz w:val="24"/>
          <w:szCs w:val="24"/>
        </w:rPr>
        <w:t>: 5). As with the Centrelink scheme, there is a ‘waiting period’ of up to 12 weeks between when a claim is successful and when payment actually occurs. Alston concludes</w:t>
      </w:r>
      <w:r w:rsidR="00C662DC">
        <w:rPr>
          <w:rFonts w:ascii="Times New Roman" w:hAnsi="Times New Roman" w:cs="Times New Roman"/>
          <w:sz w:val="24"/>
          <w:szCs w:val="24"/>
        </w:rPr>
        <w:t>:</w:t>
      </w:r>
      <w:r w:rsidRPr="00094508">
        <w:rPr>
          <w:rFonts w:ascii="Times New Roman" w:hAnsi="Times New Roman" w:cs="Times New Roman"/>
          <w:sz w:val="24"/>
          <w:szCs w:val="24"/>
        </w:rPr>
        <w:t xml:space="preserve"> ‘The rationales offered for the delay are entirely illusory, and the motivation strikes me as a combination of cost-saving, enhanced cash flows, and wanting to make clear that being on benefits should involve hardship. (</w:t>
      </w:r>
      <w:r w:rsidR="00C662DC">
        <w:rPr>
          <w:rFonts w:ascii="Times New Roman" w:hAnsi="Times New Roman" w:cs="Times New Roman"/>
          <w:sz w:val="24"/>
          <w:szCs w:val="24"/>
        </w:rPr>
        <w:t>2018</w:t>
      </w:r>
      <w:r w:rsidRPr="00094508">
        <w:rPr>
          <w:rFonts w:ascii="Times New Roman" w:hAnsi="Times New Roman" w:cs="Times New Roman"/>
          <w:sz w:val="24"/>
          <w:szCs w:val="24"/>
        </w:rPr>
        <w:t>: 5). A key feature of Universal Credit is the application of harsh sanctions even for minor infringements – all somewhat comparable to the inhum</w:t>
      </w:r>
      <w:r w:rsidR="000E43BB" w:rsidRPr="00094508">
        <w:rPr>
          <w:rFonts w:ascii="Times New Roman" w:hAnsi="Times New Roman" w:cs="Times New Roman"/>
          <w:sz w:val="24"/>
          <w:szCs w:val="24"/>
        </w:rPr>
        <w:t>an treatment meted out by ‘robo</w:t>
      </w:r>
      <w:r w:rsidRPr="00094508">
        <w:rPr>
          <w:rFonts w:ascii="Times New Roman" w:hAnsi="Times New Roman" w:cs="Times New Roman"/>
          <w:sz w:val="24"/>
          <w:szCs w:val="24"/>
        </w:rPr>
        <w:t xml:space="preserve">debt’ to people </w:t>
      </w:r>
      <w:r w:rsidRPr="00094508">
        <w:rPr>
          <w:rFonts w:ascii="Times New Roman" w:hAnsi="Times New Roman" w:cs="Times New Roman"/>
          <w:sz w:val="24"/>
          <w:szCs w:val="24"/>
        </w:rPr>
        <w:lastRenderedPageBreak/>
        <w:t>alleged retrospectively to have submitted incorrect claims. Alston reports that the sanctions ‘succeed in instilling a fear and loathing of the system in many claimants’ (</w:t>
      </w:r>
      <w:r w:rsidR="00C662DC">
        <w:rPr>
          <w:rFonts w:ascii="Times New Roman" w:hAnsi="Times New Roman" w:cs="Times New Roman"/>
          <w:sz w:val="24"/>
          <w:szCs w:val="24"/>
        </w:rPr>
        <w:t>2018</w:t>
      </w:r>
      <w:r w:rsidRPr="00094508">
        <w:rPr>
          <w:rFonts w:ascii="Times New Roman" w:hAnsi="Times New Roman" w:cs="Times New Roman"/>
          <w:sz w:val="24"/>
          <w:szCs w:val="24"/>
        </w:rPr>
        <w:t>: 6).</w:t>
      </w:r>
    </w:p>
    <w:p w:rsidR="0008041C" w:rsidRPr="00094508" w:rsidRDefault="0008041C"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Standing (2012) identifies the</w:t>
      </w:r>
      <w:r w:rsidR="000E43BB" w:rsidRPr="00094508">
        <w:rPr>
          <w:rFonts w:ascii="Times New Roman" w:hAnsi="Times New Roman" w:cs="Times New Roman"/>
          <w:sz w:val="24"/>
          <w:szCs w:val="24"/>
        </w:rPr>
        <w:t xml:space="preserve"> origin of programmes like robo</w:t>
      </w:r>
      <w:r w:rsidRPr="00094508">
        <w:rPr>
          <w:rFonts w:ascii="Times New Roman" w:hAnsi="Times New Roman" w:cs="Times New Roman"/>
          <w:sz w:val="24"/>
          <w:szCs w:val="24"/>
        </w:rPr>
        <w:t xml:space="preserve">debt and Universal Credit, and their </w:t>
      </w:r>
      <w:r w:rsidR="00C662DC" w:rsidRPr="00094508">
        <w:rPr>
          <w:rFonts w:ascii="Times New Roman" w:hAnsi="Times New Roman" w:cs="Times New Roman"/>
          <w:sz w:val="24"/>
          <w:szCs w:val="24"/>
        </w:rPr>
        <w:t>class</w:t>
      </w:r>
      <w:r w:rsidR="00C662DC">
        <w:rPr>
          <w:rFonts w:ascii="Times New Roman" w:hAnsi="Times New Roman" w:cs="Times New Roman"/>
          <w:sz w:val="24"/>
          <w:szCs w:val="24"/>
        </w:rPr>
        <w:t>-</w:t>
      </w:r>
      <w:r w:rsidRPr="00094508">
        <w:rPr>
          <w:rFonts w:ascii="Times New Roman" w:hAnsi="Times New Roman" w:cs="Times New Roman"/>
          <w:sz w:val="24"/>
          <w:szCs w:val="24"/>
        </w:rPr>
        <w:t>generating potential: ‘The precariat has emerged from the liberalisation that underpinned globalisation. Politicians should beware. It is a new dangerous class, not yet what Karl Marx would have described as a class-for-itself, but a class-in-the-making, internally divided i</w:t>
      </w:r>
      <w:r w:rsidR="00FF241C" w:rsidRPr="00094508">
        <w:rPr>
          <w:rFonts w:ascii="Times New Roman" w:hAnsi="Times New Roman" w:cs="Times New Roman"/>
          <w:sz w:val="24"/>
          <w:szCs w:val="24"/>
        </w:rPr>
        <w:t>nto angry and bitter factions</w:t>
      </w:r>
      <w:r w:rsidR="00C662DC">
        <w:rPr>
          <w:rFonts w:ascii="Times New Roman" w:hAnsi="Times New Roman" w:cs="Times New Roman"/>
          <w:sz w:val="24"/>
          <w:szCs w:val="24"/>
        </w:rPr>
        <w:t>.</w:t>
      </w:r>
      <w:r w:rsidR="00FF241C" w:rsidRPr="00094508">
        <w:rPr>
          <w:rFonts w:ascii="Times New Roman" w:hAnsi="Times New Roman" w:cs="Times New Roman"/>
          <w:sz w:val="24"/>
          <w:szCs w:val="24"/>
        </w:rPr>
        <w:t>’</w:t>
      </w:r>
    </w:p>
    <w:p w:rsidR="00B121D1" w:rsidRDefault="00B121D1"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 xml:space="preserve">The fact is that Australian governments at national level following the </w:t>
      </w:r>
      <w:r w:rsidR="00C662DC">
        <w:rPr>
          <w:rFonts w:ascii="Times New Roman" w:hAnsi="Times New Roman" w:cs="Times New Roman"/>
          <w:sz w:val="24"/>
          <w:szCs w:val="24"/>
        </w:rPr>
        <w:t>2008 global financial crisis</w:t>
      </w:r>
      <w:r w:rsidRPr="00094508">
        <w:rPr>
          <w:rFonts w:ascii="Times New Roman" w:hAnsi="Times New Roman" w:cs="Times New Roman"/>
          <w:sz w:val="24"/>
          <w:szCs w:val="24"/>
        </w:rPr>
        <w:t xml:space="preserve"> have made the poorest and most vulnerable pay a disproportionate part of the price of restoring the national budget to surplus. They have reduced the unemployed to </w:t>
      </w:r>
      <w:r w:rsidR="003D6034" w:rsidRPr="00094508">
        <w:rPr>
          <w:rFonts w:ascii="Times New Roman" w:hAnsi="Times New Roman" w:cs="Times New Roman"/>
          <w:sz w:val="24"/>
          <w:szCs w:val="24"/>
        </w:rPr>
        <w:t xml:space="preserve">misery, </w:t>
      </w:r>
      <w:r w:rsidRPr="00094508">
        <w:rPr>
          <w:rFonts w:ascii="Times New Roman" w:hAnsi="Times New Roman" w:cs="Times New Roman"/>
          <w:sz w:val="24"/>
          <w:szCs w:val="24"/>
        </w:rPr>
        <w:t>beggary and homelessness. In so doing they have made it extraordinarily hard for the unemployed to get jobs.</w:t>
      </w:r>
    </w:p>
    <w:p w:rsidR="004A70D8" w:rsidRPr="00094508" w:rsidRDefault="004A70D8" w:rsidP="00094508">
      <w:pPr>
        <w:spacing w:after="0" w:line="360" w:lineRule="auto"/>
        <w:contextualSpacing/>
        <w:rPr>
          <w:rFonts w:ascii="Times New Roman" w:hAnsi="Times New Roman" w:cs="Times New Roman"/>
          <w:sz w:val="24"/>
          <w:szCs w:val="24"/>
        </w:rPr>
      </w:pPr>
    </w:p>
    <w:p w:rsidR="00DA257D" w:rsidRPr="00094508" w:rsidRDefault="00FF241C" w:rsidP="00094508">
      <w:pPr>
        <w:spacing w:after="0" w:line="360" w:lineRule="auto"/>
        <w:contextualSpacing/>
        <w:rPr>
          <w:rFonts w:ascii="Times New Roman" w:hAnsi="Times New Roman" w:cs="Times New Roman"/>
          <w:b/>
          <w:sz w:val="24"/>
        </w:rPr>
      </w:pPr>
      <w:r w:rsidRPr="00094508">
        <w:rPr>
          <w:rFonts w:ascii="Times New Roman" w:hAnsi="Times New Roman" w:cs="Times New Roman"/>
          <w:b/>
          <w:sz w:val="24"/>
          <w:szCs w:val="24"/>
        </w:rPr>
        <w:t>Life at the top</w:t>
      </w:r>
      <w:r w:rsidR="00370EC8" w:rsidRPr="00094508">
        <w:rPr>
          <w:rFonts w:ascii="Times New Roman" w:hAnsi="Times New Roman" w:cs="Times New Roman"/>
          <w:b/>
          <w:sz w:val="24"/>
          <w:szCs w:val="24"/>
        </w:rPr>
        <w:t>: wealth</w:t>
      </w:r>
      <w:r w:rsidR="0008299B" w:rsidRPr="00094508">
        <w:rPr>
          <w:rFonts w:ascii="Times New Roman" w:hAnsi="Times New Roman" w:cs="Times New Roman"/>
          <w:b/>
          <w:sz w:val="24"/>
          <w:szCs w:val="24"/>
        </w:rPr>
        <w:t xml:space="preserve"> and income</w:t>
      </w:r>
    </w:p>
    <w:p w:rsidR="003D1D80" w:rsidRPr="00094508" w:rsidRDefault="009C28E9" w:rsidP="00094508">
      <w:p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Each year, t</w:t>
      </w:r>
      <w:r w:rsidR="003D1D80" w:rsidRPr="00094508">
        <w:rPr>
          <w:rFonts w:ascii="Times New Roman" w:hAnsi="Times New Roman" w:cs="Times New Roman"/>
          <w:sz w:val="24"/>
          <w:szCs w:val="24"/>
        </w:rPr>
        <w:t xml:space="preserve">he Australian Financial Review publishes a ‘rich list’ full of advertisements for consumer goods that tempt </w:t>
      </w:r>
      <w:r w:rsidR="00A2690D" w:rsidRPr="00094508">
        <w:rPr>
          <w:rFonts w:ascii="Times New Roman" w:hAnsi="Times New Roman" w:cs="Times New Roman"/>
          <w:sz w:val="24"/>
          <w:szCs w:val="24"/>
        </w:rPr>
        <w:t>rich people</w:t>
      </w:r>
      <w:r w:rsidR="003D1D80" w:rsidRPr="00094508">
        <w:rPr>
          <w:rFonts w:ascii="Times New Roman" w:hAnsi="Times New Roman" w:cs="Times New Roman"/>
          <w:sz w:val="24"/>
          <w:szCs w:val="24"/>
        </w:rPr>
        <w:t>, like overpriced watches, perfumes, private charter travel, jewellery, clothes</w:t>
      </w:r>
      <w:r w:rsidR="00A2690D" w:rsidRPr="00094508">
        <w:rPr>
          <w:rFonts w:ascii="Times New Roman" w:hAnsi="Times New Roman" w:cs="Times New Roman"/>
          <w:sz w:val="24"/>
          <w:szCs w:val="24"/>
        </w:rPr>
        <w:t>,</w:t>
      </w:r>
      <w:r w:rsidR="003D1D80" w:rsidRPr="00094508">
        <w:rPr>
          <w:rFonts w:ascii="Times New Roman" w:hAnsi="Times New Roman" w:cs="Times New Roman"/>
          <w:sz w:val="24"/>
          <w:szCs w:val="24"/>
        </w:rPr>
        <w:t xml:space="preserve"> cars and private jets.</w:t>
      </w:r>
    </w:p>
    <w:p w:rsidR="003D1D80" w:rsidRPr="00094508" w:rsidRDefault="003D1D80"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 xml:space="preserve">There is a sense of competition amongst these owners of capital to appear on the ‘rich list’ and climb </w:t>
      </w:r>
      <w:r w:rsidR="00A2690D" w:rsidRPr="00094508">
        <w:rPr>
          <w:rFonts w:ascii="Times New Roman" w:hAnsi="Times New Roman" w:cs="Times New Roman"/>
          <w:sz w:val="24"/>
          <w:szCs w:val="24"/>
        </w:rPr>
        <w:t xml:space="preserve">ever </w:t>
      </w:r>
      <w:r w:rsidRPr="00094508">
        <w:rPr>
          <w:rFonts w:ascii="Times New Roman" w:hAnsi="Times New Roman" w:cs="Times New Roman"/>
          <w:sz w:val="24"/>
          <w:szCs w:val="24"/>
        </w:rPr>
        <w:t>higher in the rankings. However, as Stensholt remarks, ‘The rich like to envelop their wealth in discretion and the odd secret or two</w:t>
      </w:r>
      <w:r w:rsidR="009C28E9">
        <w:rPr>
          <w:rFonts w:ascii="Times New Roman" w:hAnsi="Times New Roman" w:cs="Times New Roman"/>
          <w:sz w:val="24"/>
          <w:szCs w:val="24"/>
        </w:rPr>
        <w:t>.</w:t>
      </w:r>
      <w:r w:rsidRPr="00094508">
        <w:rPr>
          <w:rFonts w:ascii="Times New Roman" w:hAnsi="Times New Roman" w:cs="Times New Roman"/>
          <w:sz w:val="24"/>
          <w:szCs w:val="24"/>
        </w:rPr>
        <w:t>’</w:t>
      </w:r>
      <w:r w:rsidRPr="00094508">
        <w:rPr>
          <w:rStyle w:val="FootnoteReference"/>
          <w:rFonts w:ascii="Times New Roman" w:hAnsi="Times New Roman" w:cs="Times New Roman"/>
          <w:sz w:val="24"/>
          <w:szCs w:val="24"/>
          <w:highlight w:val="yellow"/>
        </w:rPr>
        <w:footnoteReference w:id="15"/>
      </w:r>
      <w:r w:rsidR="00A2690D" w:rsidRPr="00094508">
        <w:rPr>
          <w:rFonts w:ascii="Times New Roman" w:hAnsi="Times New Roman" w:cs="Times New Roman"/>
          <w:sz w:val="24"/>
          <w:szCs w:val="24"/>
        </w:rPr>
        <w:t xml:space="preserve"> The </w:t>
      </w:r>
      <w:r w:rsidR="009C28E9">
        <w:rPr>
          <w:rFonts w:ascii="Times New Roman" w:hAnsi="Times New Roman" w:cs="Times New Roman"/>
          <w:sz w:val="24"/>
          <w:szCs w:val="24"/>
        </w:rPr>
        <w:t>76</w:t>
      </w:r>
      <w:r w:rsidR="00A2690D" w:rsidRPr="00094508">
        <w:rPr>
          <w:rFonts w:ascii="Times New Roman" w:hAnsi="Times New Roman" w:cs="Times New Roman"/>
          <w:sz w:val="24"/>
          <w:szCs w:val="24"/>
        </w:rPr>
        <w:t xml:space="preserve"> Australian billionaires owned a total of AU$215 billion.</w:t>
      </w:r>
    </w:p>
    <w:p w:rsidR="00E3398D" w:rsidRPr="00094508" w:rsidRDefault="00E3398D"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 xml:space="preserve">By way of comparison the </w:t>
      </w:r>
      <w:r w:rsidR="009C28E9">
        <w:rPr>
          <w:rFonts w:ascii="Times New Roman" w:hAnsi="Times New Roman" w:cs="Times New Roman"/>
          <w:sz w:val="24"/>
          <w:szCs w:val="24"/>
        </w:rPr>
        <w:t>g</w:t>
      </w:r>
      <w:r w:rsidR="00C94FCF" w:rsidRPr="00094508">
        <w:rPr>
          <w:rFonts w:ascii="Times New Roman" w:hAnsi="Times New Roman" w:cs="Times New Roman"/>
          <w:sz w:val="24"/>
          <w:szCs w:val="24"/>
        </w:rPr>
        <w:t xml:space="preserve">overnment of </w:t>
      </w:r>
      <w:r w:rsidR="009805CE" w:rsidRPr="00094508">
        <w:rPr>
          <w:rFonts w:ascii="Times New Roman" w:hAnsi="Times New Roman" w:cs="Times New Roman"/>
          <w:sz w:val="24"/>
          <w:szCs w:val="24"/>
        </w:rPr>
        <w:t xml:space="preserve">the State of </w:t>
      </w:r>
      <w:r w:rsidR="00C94FCF" w:rsidRPr="00094508">
        <w:rPr>
          <w:rFonts w:ascii="Times New Roman" w:hAnsi="Times New Roman" w:cs="Times New Roman"/>
          <w:sz w:val="24"/>
          <w:szCs w:val="24"/>
        </w:rPr>
        <w:t>Victoria</w:t>
      </w:r>
      <w:r w:rsidR="00370EC8" w:rsidRPr="00094508">
        <w:rPr>
          <w:rFonts w:ascii="Times New Roman" w:hAnsi="Times New Roman" w:cs="Times New Roman"/>
          <w:sz w:val="24"/>
          <w:szCs w:val="24"/>
        </w:rPr>
        <w:t xml:space="preserve"> (population </w:t>
      </w:r>
      <w:r w:rsidR="00EB4416" w:rsidRPr="00094508">
        <w:rPr>
          <w:rFonts w:ascii="Times New Roman" w:hAnsi="Times New Roman" w:cs="Times New Roman"/>
          <w:sz w:val="24"/>
          <w:szCs w:val="24"/>
        </w:rPr>
        <w:t>6.38 million 2019)</w:t>
      </w:r>
      <w:r w:rsidR="00C94FCF" w:rsidRPr="00094508">
        <w:rPr>
          <w:rFonts w:ascii="Times New Roman" w:hAnsi="Times New Roman" w:cs="Times New Roman"/>
          <w:sz w:val="24"/>
          <w:szCs w:val="24"/>
        </w:rPr>
        <w:t xml:space="preserve"> boasted of its</w:t>
      </w:r>
      <w:r w:rsidR="00370EC8" w:rsidRPr="00094508">
        <w:rPr>
          <w:rFonts w:ascii="Times New Roman" w:hAnsi="Times New Roman" w:cs="Times New Roman"/>
          <w:sz w:val="24"/>
          <w:szCs w:val="24"/>
        </w:rPr>
        <w:t xml:space="preserve"> education sector</w:t>
      </w:r>
      <w:r w:rsidR="00C94FCF" w:rsidRPr="00094508">
        <w:rPr>
          <w:rFonts w:ascii="Times New Roman" w:hAnsi="Times New Roman" w:cs="Times New Roman"/>
          <w:sz w:val="24"/>
          <w:szCs w:val="24"/>
        </w:rPr>
        <w:t xml:space="preserve"> ‘budget highlights’ for 2019</w:t>
      </w:r>
      <w:r w:rsidR="009C28E9">
        <w:rPr>
          <w:rFonts w:ascii="Times New Roman" w:hAnsi="Times New Roman" w:cs="Times New Roman"/>
          <w:sz w:val="24"/>
          <w:szCs w:val="24"/>
        </w:rPr>
        <w:t>–</w:t>
      </w:r>
      <w:r w:rsidR="00C94FCF" w:rsidRPr="00094508">
        <w:rPr>
          <w:rFonts w:ascii="Times New Roman" w:hAnsi="Times New Roman" w:cs="Times New Roman"/>
          <w:sz w:val="24"/>
          <w:szCs w:val="24"/>
        </w:rPr>
        <w:t xml:space="preserve">20: AU$3.449 billion across </w:t>
      </w:r>
      <w:r w:rsidR="00370EC8" w:rsidRPr="00094508">
        <w:rPr>
          <w:rFonts w:ascii="Times New Roman" w:hAnsi="Times New Roman" w:cs="Times New Roman"/>
          <w:sz w:val="24"/>
          <w:szCs w:val="24"/>
        </w:rPr>
        <w:t>the education spectrum</w:t>
      </w:r>
      <w:r w:rsidR="00C94FCF" w:rsidRPr="00094508">
        <w:rPr>
          <w:rFonts w:ascii="Times New Roman" w:hAnsi="Times New Roman" w:cs="Times New Roman"/>
          <w:sz w:val="24"/>
          <w:szCs w:val="24"/>
        </w:rPr>
        <w:t>: around the level of billionaire number 17 on the list</w:t>
      </w:r>
      <w:r w:rsidR="009C28E9">
        <w:rPr>
          <w:rFonts w:ascii="Times New Roman" w:hAnsi="Times New Roman" w:cs="Times New Roman"/>
          <w:sz w:val="24"/>
          <w:szCs w:val="24"/>
        </w:rPr>
        <w:t>.</w:t>
      </w:r>
      <w:r w:rsidR="00C94FCF" w:rsidRPr="00094508">
        <w:rPr>
          <w:rStyle w:val="FootnoteReference"/>
          <w:rFonts w:ascii="Times New Roman" w:hAnsi="Times New Roman" w:cs="Times New Roman"/>
          <w:sz w:val="24"/>
          <w:szCs w:val="24"/>
          <w:highlight w:val="yellow"/>
        </w:rPr>
        <w:footnoteReference w:id="16"/>
      </w:r>
      <w:r w:rsidR="003F7A50" w:rsidRPr="00094508">
        <w:rPr>
          <w:rFonts w:ascii="Times New Roman" w:hAnsi="Times New Roman" w:cs="Times New Roman"/>
          <w:sz w:val="24"/>
          <w:szCs w:val="24"/>
        </w:rPr>
        <w:t xml:space="preserve"> The government also boasted of investing </w:t>
      </w:r>
      <w:r w:rsidR="00370EC8" w:rsidRPr="00094508">
        <w:rPr>
          <w:rFonts w:ascii="Times New Roman" w:hAnsi="Times New Roman" w:cs="Times New Roman"/>
          <w:sz w:val="24"/>
          <w:szCs w:val="24"/>
        </w:rPr>
        <w:t>AU$11.7 billion over four years in ‘healthcare and hospital services’: around number 4 on the billionaire list.</w:t>
      </w:r>
      <w:r w:rsidR="00EB4416" w:rsidRPr="00094508">
        <w:rPr>
          <w:rFonts w:ascii="Times New Roman" w:hAnsi="Times New Roman" w:cs="Times New Roman"/>
          <w:sz w:val="24"/>
          <w:szCs w:val="24"/>
        </w:rPr>
        <w:t xml:space="preserve"> Two rich-listers’ worth </w:t>
      </w:r>
      <w:r w:rsidR="001B64F5" w:rsidRPr="00094508">
        <w:rPr>
          <w:rFonts w:ascii="Times New Roman" w:hAnsi="Times New Roman" w:cs="Times New Roman"/>
          <w:sz w:val="24"/>
          <w:szCs w:val="24"/>
        </w:rPr>
        <w:t xml:space="preserve">of new investment </w:t>
      </w:r>
      <w:r w:rsidR="00EB4416" w:rsidRPr="00094508">
        <w:rPr>
          <w:rFonts w:ascii="Times New Roman" w:hAnsi="Times New Roman" w:cs="Times New Roman"/>
          <w:sz w:val="24"/>
          <w:szCs w:val="24"/>
        </w:rPr>
        <w:t>for social services for 6.38 million people.</w:t>
      </w:r>
    </w:p>
    <w:p w:rsidR="00370EC8" w:rsidRPr="00094508" w:rsidRDefault="00370EC8"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At the 2019 federal general election</w:t>
      </w:r>
      <w:r w:rsidR="009C28E9">
        <w:rPr>
          <w:rFonts w:ascii="Times New Roman" w:hAnsi="Times New Roman" w:cs="Times New Roman"/>
          <w:sz w:val="24"/>
          <w:szCs w:val="24"/>
        </w:rPr>
        <w:t>,</w:t>
      </w:r>
      <w:r w:rsidRPr="00094508">
        <w:rPr>
          <w:rFonts w:ascii="Times New Roman" w:hAnsi="Times New Roman" w:cs="Times New Roman"/>
          <w:sz w:val="24"/>
          <w:szCs w:val="24"/>
        </w:rPr>
        <w:t xml:space="preserve"> num</w:t>
      </w:r>
      <w:r w:rsidR="0030123D" w:rsidRPr="00094508">
        <w:rPr>
          <w:rFonts w:ascii="Times New Roman" w:hAnsi="Times New Roman" w:cs="Times New Roman"/>
          <w:sz w:val="24"/>
          <w:szCs w:val="24"/>
        </w:rPr>
        <w:t xml:space="preserve">ber 20 on the billionaire list </w:t>
      </w:r>
      <w:r w:rsidRPr="00094508">
        <w:rPr>
          <w:rFonts w:ascii="Times New Roman" w:hAnsi="Times New Roman" w:cs="Times New Roman"/>
          <w:sz w:val="24"/>
          <w:szCs w:val="24"/>
        </w:rPr>
        <w:t>flexed his muscles in the political sphere</w:t>
      </w:r>
      <w:r w:rsidR="00C3605D" w:rsidRPr="00094508">
        <w:rPr>
          <w:rFonts w:ascii="Times New Roman" w:hAnsi="Times New Roman" w:cs="Times New Roman"/>
          <w:sz w:val="24"/>
          <w:szCs w:val="24"/>
        </w:rPr>
        <w:t>.</w:t>
      </w:r>
      <w:r w:rsidR="00602A43" w:rsidRPr="00094508">
        <w:rPr>
          <w:rFonts w:ascii="Times New Roman" w:hAnsi="Times New Roman" w:cs="Times New Roman"/>
          <w:sz w:val="24"/>
          <w:szCs w:val="24"/>
        </w:rPr>
        <w:t xml:space="preserve"> Mr Palmer allegedly spent AU$53.6 million advertising </w:t>
      </w:r>
      <w:r w:rsidR="00366038" w:rsidRPr="00094508">
        <w:rPr>
          <w:rFonts w:ascii="Times New Roman" w:hAnsi="Times New Roman" w:cs="Times New Roman"/>
          <w:sz w:val="24"/>
          <w:szCs w:val="24"/>
        </w:rPr>
        <w:t>a political party he had created</w:t>
      </w:r>
      <w:r w:rsidR="00602A43" w:rsidRPr="00094508">
        <w:rPr>
          <w:rFonts w:ascii="Times New Roman" w:hAnsi="Times New Roman" w:cs="Times New Roman"/>
          <w:sz w:val="24"/>
          <w:szCs w:val="24"/>
        </w:rPr>
        <w:t xml:space="preserve">, not including </w:t>
      </w:r>
      <w:r w:rsidR="00366038" w:rsidRPr="00094508">
        <w:rPr>
          <w:rFonts w:ascii="Times New Roman" w:hAnsi="Times New Roman" w:cs="Times New Roman"/>
          <w:sz w:val="24"/>
          <w:szCs w:val="24"/>
        </w:rPr>
        <w:t xml:space="preserve">the cost of </w:t>
      </w:r>
      <w:r w:rsidR="00602A43" w:rsidRPr="00094508">
        <w:rPr>
          <w:rFonts w:ascii="Times New Roman" w:hAnsi="Times New Roman" w:cs="Times New Roman"/>
          <w:sz w:val="24"/>
          <w:szCs w:val="24"/>
        </w:rPr>
        <w:t xml:space="preserve">huge billboards in each </w:t>
      </w:r>
      <w:r w:rsidR="009C28E9">
        <w:rPr>
          <w:rFonts w:ascii="Times New Roman" w:hAnsi="Times New Roman" w:cs="Times New Roman"/>
          <w:sz w:val="24"/>
          <w:szCs w:val="24"/>
        </w:rPr>
        <w:t>s</w:t>
      </w:r>
      <w:r w:rsidR="00602A43" w:rsidRPr="00094508">
        <w:rPr>
          <w:rFonts w:ascii="Times New Roman" w:hAnsi="Times New Roman" w:cs="Times New Roman"/>
          <w:sz w:val="24"/>
          <w:szCs w:val="24"/>
        </w:rPr>
        <w:t>tate</w:t>
      </w:r>
      <w:r w:rsidR="009C28E9">
        <w:rPr>
          <w:rFonts w:ascii="Times New Roman" w:hAnsi="Times New Roman" w:cs="Times New Roman"/>
          <w:sz w:val="24"/>
          <w:szCs w:val="24"/>
        </w:rPr>
        <w:t>.</w:t>
      </w:r>
      <w:r w:rsidR="0030123D" w:rsidRPr="00094508">
        <w:rPr>
          <w:rStyle w:val="FootnoteReference"/>
          <w:rFonts w:ascii="Times New Roman" w:hAnsi="Times New Roman" w:cs="Times New Roman"/>
          <w:sz w:val="24"/>
          <w:szCs w:val="24"/>
          <w:highlight w:val="yellow"/>
        </w:rPr>
        <w:footnoteReference w:id="17"/>
      </w:r>
      <w:r w:rsidR="00602A43" w:rsidRPr="00094508">
        <w:rPr>
          <w:rFonts w:ascii="Times New Roman" w:hAnsi="Times New Roman" w:cs="Times New Roman"/>
          <w:sz w:val="24"/>
          <w:szCs w:val="24"/>
        </w:rPr>
        <w:t xml:space="preserve"> That </w:t>
      </w:r>
      <w:r w:rsidR="009C28E9">
        <w:rPr>
          <w:rFonts w:ascii="Times New Roman" w:hAnsi="Times New Roman" w:cs="Times New Roman"/>
          <w:sz w:val="24"/>
          <w:szCs w:val="24"/>
        </w:rPr>
        <w:t>p</w:t>
      </w:r>
      <w:r w:rsidR="00602A43" w:rsidRPr="00094508">
        <w:rPr>
          <w:rFonts w:ascii="Times New Roman" w:hAnsi="Times New Roman" w:cs="Times New Roman"/>
          <w:sz w:val="24"/>
          <w:szCs w:val="24"/>
        </w:rPr>
        <w:t>arty received just 3.4 per</w:t>
      </w:r>
      <w:r w:rsidR="009C28E9">
        <w:rPr>
          <w:rFonts w:ascii="Times New Roman" w:hAnsi="Times New Roman" w:cs="Times New Roman"/>
          <w:sz w:val="24"/>
          <w:szCs w:val="24"/>
        </w:rPr>
        <w:t xml:space="preserve"> </w:t>
      </w:r>
      <w:r w:rsidR="00602A43" w:rsidRPr="00094508">
        <w:rPr>
          <w:rFonts w:ascii="Times New Roman" w:hAnsi="Times New Roman" w:cs="Times New Roman"/>
          <w:sz w:val="24"/>
          <w:szCs w:val="24"/>
        </w:rPr>
        <w:t>cent of the primary vote nationally.</w:t>
      </w:r>
      <w:r w:rsidR="00366038" w:rsidRPr="00094508">
        <w:rPr>
          <w:rFonts w:ascii="Times New Roman" w:hAnsi="Times New Roman" w:cs="Times New Roman"/>
          <w:sz w:val="24"/>
          <w:szCs w:val="24"/>
        </w:rPr>
        <w:t xml:space="preserve"> But the Labor Party under the leadership of Bill Shorten lost the election. </w:t>
      </w:r>
      <w:r w:rsidR="00602A43" w:rsidRPr="00094508">
        <w:rPr>
          <w:rFonts w:ascii="Times New Roman" w:hAnsi="Times New Roman" w:cs="Times New Roman"/>
          <w:sz w:val="24"/>
          <w:szCs w:val="24"/>
        </w:rPr>
        <w:t>So, Crowe</w:t>
      </w:r>
      <w:r w:rsidR="00366038" w:rsidRPr="00094508">
        <w:rPr>
          <w:rFonts w:ascii="Times New Roman" w:hAnsi="Times New Roman" w:cs="Times New Roman"/>
          <w:sz w:val="24"/>
          <w:szCs w:val="24"/>
        </w:rPr>
        <w:t xml:space="preserve"> (2019)</w:t>
      </w:r>
      <w:r w:rsidR="00602A43" w:rsidRPr="00094508">
        <w:rPr>
          <w:rFonts w:ascii="Times New Roman" w:hAnsi="Times New Roman" w:cs="Times New Roman"/>
          <w:sz w:val="24"/>
          <w:szCs w:val="24"/>
        </w:rPr>
        <w:t xml:space="preserve"> asks, what did Palmer buy? Crowe continues</w:t>
      </w:r>
      <w:r w:rsidR="009C28E9">
        <w:rPr>
          <w:rFonts w:ascii="Times New Roman" w:hAnsi="Times New Roman" w:cs="Times New Roman"/>
          <w:sz w:val="24"/>
          <w:szCs w:val="24"/>
        </w:rPr>
        <w:t>:</w:t>
      </w:r>
      <w:r w:rsidR="00602A43" w:rsidRPr="00094508">
        <w:rPr>
          <w:rFonts w:ascii="Times New Roman" w:hAnsi="Times New Roman" w:cs="Times New Roman"/>
          <w:sz w:val="24"/>
          <w:szCs w:val="24"/>
        </w:rPr>
        <w:t xml:space="preserve"> ‘He helped to prevent a Labor victory, a tax agenda that would cost him money and a climate change policy that would hurt his interests</w:t>
      </w:r>
      <w:r w:rsidR="009C28E9">
        <w:rPr>
          <w:rFonts w:ascii="Times New Roman" w:hAnsi="Times New Roman" w:cs="Times New Roman"/>
          <w:sz w:val="24"/>
          <w:szCs w:val="24"/>
        </w:rPr>
        <w:t>.</w:t>
      </w:r>
      <w:r w:rsidR="00602A43" w:rsidRPr="00094508">
        <w:rPr>
          <w:rFonts w:ascii="Times New Roman" w:hAnsi="Times New Roman" w:cs="Times New Roman"/>
          <w:sz w:val="24"/>
          <w:szCs w:val="24"/>
        </w:rPr>
        <w:t xml:space="preserve">’ </w:t>
      </w:r>
      <w:r w:rsidR="00366038" w:rsidRPr="00094508">
        <w:rPr>
          <w:rFonts w:ascii="Times New Roman" w:hAnsi="Times New Roman" w:cs="Times New Roman"/>
          <w:sz w:val="24"/>
          <w:szCs w:val="24"/>
        </w:rPr>
        <w:t xml:space="preserve">The day before the election Palmer was reported to have unveiled plans for a </w:t>
      </w:r>
      <w:r w:rsidR="009C28E9" w:rsidRPr="00094508">
        <w:rPr>
          <w:rFonts w:ascii="Times New Roman" w:hAnsi="Times New Roman" w:cs="Times New Roman"/>
          <w:sz w:val="24"/>
          <w:szCs w:val="24"/>
        </w:rPr>
        <w:t>coal</w:t>
      </w:r>
      <w:r w:rsidR="009C28E9">
        <w:rPr>
          <w:rFonts w:ascii="Times New Roman" w:hAnsi="Times New Roman" w:cs="Times New Roman"/>
          <w:sz w:val="24"/>
          <w:szCs w:val="24"/>
        </w:rPr>
        <w:t>-</w:t>
      </w:r>
      <w:r w:rsidR="00366038" w:rsidRPr="00094508">
        <w:rPr>
          <w:rFonts w:ascii="Times New Roman" w:hAnsi="Times New Roman" w:cs="Times New Roman"/>
          <w:sz w:val="24"/>
          <w:szCs w:val="24"/>
        </w:rPr>
        <w:t>fired power station in central Queensland; and i</w:t>
      </w:r>
      <w:r w:rsidR="00602A43" w:rsidRPr="00094508">
        <w:rPr>
          <w:rFonts w:ascii="Times New Roman" w:hAnsi="Times New Roman" w:cs="Times New Roman"/>
          <w:sz w:val="24"/>
          <w:szCs w:val="24"/>
        </w:rPr>
        <w:t xml:space="preserve">n October 2019 </w:t>
      </w:r>
      <w:r w:rsidR="00366038" w:rsidRPr="00094508">
        <w:rPr>
          <w:rFonts w:ascii="Times New Roman" w:hAnsi="Times New Roman" w:cs="Times New Roman"/>
          <w:sz w:val="24"/>
          <w:szCs w:val="24"/>
        </w:rPr>
        <w:t>he</w:t>
      </w:r>
      <w:r w:rsidR="00602A43" w:rsidRPr="00094508">
        <w:rPr>
          <w:rFonts w:ascii="Times New Roman" w:hAnsi="Times New Roman" w:cs="Times New Roman"/>
          <w:sz w:val="24"/>
          <w:szCs w:val="24"/>
        </w:rPr>
        <w:t xml:space="preserve"> reapplied for a mining lease to build a massive coal</w:t>
      </w:r>
      <w:r w:rsidR="00366038" w:rsidRPr="00094508">
        <w:rPr>
          <w:rFonts w:ascii="Times New Roman" w:hAnsi="Times New Roman" w:cs="Times New Roman"/>
          <w:sz w:val="24"/>
          <w:szCs w:val="24"/>
        </w:rPr>
        <w:t xml:space="preserve"> </w:t>
      </w:r>
      <w:r w:rsidR="00602A43" w:rsidRPr="00094508">
        <w:rPr>
          <w:rFonts w:ascii="Times New Roman" w:hAnsi="Times New Roman" w:cs="Times New Roman"/>
          <w:sz w:val="24"/>
          <w:szCs w:val="24"/>
        </w:rPr>
        <w:t>mine in Queensland’</w:t>
      </w:r>
      <w:r w:rsidR="00366038" w:rsidRPr="00094508">
        <w:rPr>
          <w:rFonts w:ascii="Times New Roman" w:hAnsi="Times New Roman" w:cs="Times New Roman"/>
          <w:sz w:val="24"/>
          <w:szCs w:val="24"/>
        </w:rPr>
        <w:t>s Gali</w:t>
      </w:r>
      <w:r w:rsidR="00602A43" w:rsidRPr="00094508">
        <w:rPr>
          <w:rFonts w:ascii="Times New Roman" w:hAnsi="Times New Roman" w:cs="Times New Roman"/>
          <w:sz w:val="24"/>
          <w:szCs w:val="24"/>
        </w:rPr>
        <w:t>lee basin</w:t>
      </w:r>
      <w:r w:rsidR="009C28E9">
        <w:rPr>
          <w:rFonts w:ascii="Times New Roman" w:hAnsi="Times New Roman" w:cs="Times New Roman"/>
          <w:sz w:val="24"/>
          <w:szCs w:val="24"/>
        </w:rPr>
        <w:t>.</w:t>
      </w:r>
      <w:r w:rsidR="0030123D" w:rsidRPr="00094508">
        <w:rPr>
          <w:rStyle w:val="FootnoteReference"/>
          <w:rFonts w:ascii="Times New Roman" w:hAnsi="Times New Roman" w:cs="Times New Roman"/>
          <w:sz w:val="24"/>
          <w:szCs w:val="24"/>
          <w:highlight w:val="yellow"/>
        </w:rPr>
        <w:footnoteReference w:id="18"/>
      </w:r>
      <w:r w:rsidR="00366038" w:rsidRPr="00094508">
        <w:rPr>
          <w:rFonts w:ascii="Times New Roman" w:hAnsi="Times New Roman" w:cs="Times New Roman"/>
          <w:sz w:val="24"/>
          <w:szCs w:val="24"/>
        </w:rPr>
        <w:t xml:space="preserve"> In December</w:t>
      </w:r>
      <w:r w:rsidR="00C3605D" w:rsidRPr="00094508">
        <w:rPr>
          <w:rFonts w:ascii="Times New Roman" w:hAnsi="Times New Roman" w:cs="Times New Roman"/>
          <w:sz w:val="24"/>
          <w:szCs w:val="24"/>
        </w:rPr>
        <w:t xml:space="preserve"> 2019</w:t>
      </w:r>
      <w:r w:rsidR="009C28E9">
        <w:rPr>
          <w:rFonts w:ascii="Times New Roman" w:hAnsi="Times New Roman" w:cs="Times New Roman"/>
          <w:sz w:val="24"/>
          <w:szCs w:val="24"/>
        </w:rPr>
        <w:t>,</w:t>
      </w:r>
      <w:r w:rsidR="00366038" w:rsidRPr="00094508">
        <w:rPr>
          <w:rFonts w:ascii="Times New Roman" w:hAnsi="Times New Roman" w:cs="Times New Roman"/>
          <w:sz w:val="24"/>
          <w:szCs w:val="24"/>
        </w:rPr>
        <w:t xml:space="preserve"> the new leader of the Labor Party, Anthony Albanese</w:t>
      </w:r>
      <w:r w:rsidR="00ED0CD2" w:rsidRPr="00094508">
        <w:rPr>
          <w:rFonts w:ascii="Times New Roman" w:hAnsi="Times New Roman" w:cs="Times New Roman"/>
          <w:sz w:val="24"/>
          <w:szCs w:val="24"/>
        </w:rPr>
        <w:t>, announced that he was backing Australia’s coal export industry</w:t>
      </w:r>
      <w:r w:rsidR="00366038" w:rsidRPr="00094508">
        <w:rPr>
          <w:rFonts w:ascii="Times New Roman" w:hAnsi="Times New Roman" w:cs="Times New Roman"/>
          <w:sz w:val="24"/>
          <w:szCs w:val="24"/>
        </w:rPr>
        <w:t xml:space="preserve"> </w:t>
      </w:r>
      <w:r w:rsidR="00ED0CD2" w:rsidRPr="00094508">
        <w:rPr>
          <w:rFonts w:ascii="Times New Roman" w:hAnsi="Times New Roman" w:cs="Times New Roman"/>
          <w:sz w:val="24"/>
          <w:szCs w:val="24"/>
        </w:rPr>
        <w:t>arguing that ‘it would be wrong to damage the industry and its workers’</w:t>
      </w:r>
      <w:r w:rsidR="009C28E9">
        <w:rPr>
          <w:rFonts w:ascii="Times New Roman" w:hAnsi="Times New Roman" w:cs="Times New Roman"/>
          <w:sz w:val="24"/>
          <w:szCs w:val="24"/>
        </w:rPr>
        <w:t>.</w:t>
      </w:r>
      <w:r w:rsidR="00666B12" w:rsidRPr="00094508">
        <w:rPr>
          <w:rStyle w:val="FootnoteReference"/>
          <w:rFonts w:ascii="Times New Roman" w:hAnsi="Times New Roman" w:cs="Times New Roman"/>
          <w:sz w:val="24"/>
          <w:szCs w:val="24"/>
          <w:highlight w:val="yellow"/>
        </w:rPr>
        <w:footnoteReference w:id="19"/>
      </w:r>
    </w:p>
    <w:p w:rsidR="00370EC8" w:rsidRPr="00094508" w:rsidRDefault="00370EC8"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The Chief Executive Officer of Qantas, Australia’s flagship airline</w:t>
      </w:r>
      <w:r w:rsidR="000E43BB" w:rsidRPr="00094508">
        <w:rPr>
          <w:rFonts w:ascii="Times New Roman" w:hAnsi="Times New Roman" w:cs="Times New Roman"/>
          <w:sz w:val="24"/>
          <w:szCs w:val="24"/>
        </w:rPr>
        <w:t>,</w:t>
      </w:r>
      <w:r w:rsidRPr="00094508">
        <w:rPr>
          <w:rFonts w:ascii="Times New Roman" w:hAnsi="Times New Roman" w:cs="Times New Roman"/>
          <w:sz w:val="24"/>
          <w:szCs w:val="24"/>
        </w:rPr>
        <w:t xml:space="preserve"> was not on the rich list.</w:t>
      </w:r>
      <w:r w:rsidR="0008299B" w:rsidRPr="00094508">
        <w:rPr>
          <w:rFonts w:ascii="Times New Roman" w:hAnsi="Times New Roman" w:cs="Times New Roman"/>
          <w:sz w:val="24"/>
          <w:szCs w:val="24"/>
        </w:rPr>
        <w:t xml:space="preserve"> However</w:t>
      </w:r>
      <w:r w:rsidR="009C28E9">
        <w:rPr>
          <w:rFonts w:ascii="Times New Roman" w:hAnsi="Times New Roman" w:cs="Times New Roman"/>
          <w:sz w:val="24"/>
          <w:szCs w:val="24"/>
        </w:rPr>
        <w:t>,</w:t>
      </w:r>
      <w:r w:rsidR="0008299B" w:rsidRPr="00094508">
        <w:rPr>
          <w:rFonts w:ascii="Times New Roman" w:hAnsi="Times New Roman" w:cs="Times New Roman"/>
          <w:sz w:val="24"/>
          <w:szCs w:val="24"/>
        </w:rPr>
        <w:t xml:space="preserve"> his income was large: AU$24 million in 2019. Two articles discussing the CEO’s income appeared in </w:t>
      </w:r>
      <w:r w:rsidR="0008299B" w:rsidRPr="00094508">
        <w:rPr>
          <w:rFonts w:ascii="Times New Roman" w:hAnsi="Times New Roman" w:cs="Times New Roman"/>
          <w:i/>
          <w:sz w:val="24"/>
          <w:szCs w:val="24"/>
        </w:rPr>
        <w:t>The Age</w:t>
      </w:r>
      <w:r w:rsidR="0008299B" w:rsidRPr="00094508">
        <w:rPr>
          <w:rFonts w:ascii="Times New Roman" w:hAnsi="Times New Roman" w:cs="Times New Roman"/>
          <w:sz w:val="24"/>
          <w:szCs w:val="24"/>
        </w:rPr>
        <w:t xml:space="preserve">. In the first, Steve Purvinas (federal secretary of the Australian Licensed Aircraft Engineers Association, ALAEA, the aircraft maintenance engineers’ union), pointed out that when Qantas reported a loss of </w:t>
      </w:r>
      <w:r w:rsidR="007553A4" w:rsidRPr="00094508">
        <w:rPr>
          <w:rFonts w:ascii="Times New Roman" w:hAnsi="Times New Roman" w:cs="Times New Roman"/>
          <w:sz w:val="24"/>
          <w:szCs w:val="24"/>
        </w:rPr>
        <w:t>AU$</w:t>
      </w:r>
      <w:r w:rsidR="0008299B" w:rsidRPr="00094508">
        <w:rPr>
          <w:rFonts w:ascii="Times New Roman" w:hAnsi="Times New Roman" w:cs="Times New Roman"/>
          <w:sz w:val="24"/>
          <w:szCs w:val="24"/>
        </w:rPr>
        <w:t>2.8 billion in 2014 ‘staff were called on to freeze their wages for 18 months</w:t>
      </w:r>
      <w:r w:rsidR="007553A4" w:rsidRPr="00094508">
        <w:rPr>
          <w:rFonts w:ascii="Times New Roman" w:hAnsi="Times New Roman" w:cs="Times New Roman"/>
          <w:sz w:val="24"/>
          <w:szCs w:val="24"/>
        </w:rPr>
        <w:t>, a call that my union was first to heed’. Compared with wage increases consistent with inflation (the rise in the Consumer Price Index over the period), employees had to forgo AU$60 million each year. At the same time ‘executive and senior management remuneration packages increased by – you guessed it – AU$60 million each year’</w:t>
      </w:r>
      <w:r w:rsidR="009C28E9">
        <w:rPr>
          <w:rFonts w:ascii="Times New Roman" w:hAnsi="Times New Roman" w:cs="Times New Roman"/>
          <w:sz w:val="24"/>
          <w:szCs w:val="24"/>
        </w:rPr>
        <w:t>.</w:t>
      </w:r>
      <w:r w:rsidR="007553A4" w:rsidRPr="00094508">
        <w:rPr>
          <w:rStyle w:val="FootnoteReference"/>
          <w:rFonts w:ascii="Times New Roman" w:hAnsi="Times New Roman" w:cs="Times New Roman"/>
          <w:sz w:val="24"/>
          <w:szCs w:val="24"/>
          <w:highlight w:val="yellow"/>
        </w:rPr>
        <w:footnoteReference w:id="20"/>
      </w:r>
    </w:p>
    <w:p w:rsidR="00A66858" w:rsidRPr="00094508" w:rsidRDefault="00A66858"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The following day</w:t>
      </w:r>
      <w:r w:rsidR="009C28E9">
        <w:rPr>
          <w:rFonts w:ascii="Times New Roman" w:hAnsi="Times New Roman" w:cs="Times New Roman"/>
          <w:sz w:val="24"/>
          <w:szCs w:val="24"/>
        </w:rPr>
        <w:t>,</w:t>
      </w:r>
      <w:r w:rsidRPr="00094508">
        <w:rPr>
          <w:rFonts w:ascii="Times New Roman" w:hAnsi="Times New Roman" w:cs="Times New Roman"/>
          <w:sz w:val="24"/>
          <w:szCs w:val="24"/>
        </w:rPr>
        <w:t xml:space="preserve"> Vanessa Hudson, Chief Financial Officer of Qantas</w:t>
      </w:r>
      <w:r w:rsidR="00430BAA" w:rsidRPr="00094508">
        <w:rPr>
          <w:rFonts w:ascii="Times New Roman" w:hAnsi="Times New Roman" w:cs="Times New Roman"/>
          <w:sz w:val="24"/>
          <w:szCs w:val="24"/>
        </w:rPr>
        <w:t xml:space="preserve"> (from </w:t>
      </w:r>
      <w:r w:rsidR="009C28E9">
        <w:rPr>
          <w:rFonts w:ascii="Times New Roman" w:hAnsi="Times New Roman" w:cs="Times New Roman"/>
          <w:sz w:val="24"/>
          <w:szCs w:val="24"/>
        </w:rPr>
        <w:t>1 October 2019</w:t>
      </w:r>
      <w:r w:rsidR="00430BAA" w:rsidRPr="00094508">
        <w:rPr>
          <w:rFonts w:ascii="Times New Roman" w:hAnsi="Times New Roman" w:cs="Times New Roman"/>
          <w:sz w:val="24"/>
          <w:szCs w:val="24"/>
        </w:rPr>
        <w:t>)</w:t>
      </w:r>
      <w:r w:rsidRPr="00094508">
        <w:rPr>
          <w:rFonts w:ascii="Times New Roman" w:hAnsi="Times New Roman" w:cs="Times New Roman"/>
          <w:sz w:val="24"/>
          <w:szCs w:val="24"/>
        </w:rPr>
        <w:t xml:space="preserve"> offered a response. She did not dispute the cost of the </w:t>
      </w:r>
      <w:r w:rsidR="009C28E9" w:rsidRPr="00094508">
        <w:rPr>
          <w:rFonts w:ascii="Times New Roman" w:hAnsi="Times New Roman" w:cs="Times New Roman"/>
          <w:sz w:val="24"/>
          <w:szCs w:val="24"/>
        </w:rPr>
        <w:t>18</w:t>
      </w:r>
      <w:r w:rsidR="009C28E9">
        <w:rPr>
          <w:rFonts w:ascii="Times New Roman" w:hAnsi="Times New Roman" w:cs="Times New Roman"/>
          <w:sz w:val="24"/>
          <w:szCs w:val="24"/>
        </w:rPr>
        <w:t>-</w:t>
      </w:r>
      <w:r w:rsidRPr="00094508">
        <w:rPr>
          <w:rFonts w:ascii="Times New Roman" w:hAnsi="Times New Roman" w:cs="Times New Roman"/>
          <w:sz w:val="24"/>
          <w:szCs w:val="24"/>
        </w:rPr>
        <w:t>month salary freeze</w:t>
      </w:r>
      <w:r w:rsidR="009C28E9">
        <w:rPr>
          <w:rFonts w:ascii="Times New Roman" w:hAnsi="Times New Roman" w:cs="Times New Roman"/>
          <w:sz w:val="24"/>
          <w:szCs w:val="24"/>
        </w:rPr>
        <w:t>,</w:t>
      </w:r>
      <w:r w:rsidR="00665FFA" w:rsidRPr="00094508">
        <w:rPr>
          <w:rFonts w:ascii="Times New Roman" w:hAnsi="Times New Roman" w:cs="Times New Roman"/>
          <w:sz w:val="24"/>
          <w:szCs w:val="24"/>
        </w:rPr>
        <w:t xml:space="preserve"> </w:t>
      </w:r>
      <w:r w:rsidR="009C28E9">
        <w:rPr>
          <w:rFonts w:ascii="Times New Roman" w:hAnsi="Times New Roman" w:cs="Times New Roman"/>
          <w:sz w:val="24"/>
          <w:szCs w:val="24"/>
        </w:rPr>
        <w:t>b</w:t>
      </w:r>
      <w:r w:rsidR="00665FFA" w:rsidRPr="00094508">
        <w:rPr>
          <w:rFonts w:ascii="Times New Roman" w:hAnsi="Times New Roman" w:cs="Times New Roman"/>
          <w:sz w:val="24"/>
          <w:szCs w:val="24"/>
        </w:rPr>
        <w:t>ut</w:t>
      </w:r>
      <w:r w:rsidR="009C28E9">
        <w:rPr>
          <w:rFonts w:ascii="Times New Roman" w:hAnsi="Times New Roman" w:cs="Times New Roman"/>
          <w:sz w:val="24"/>
          <w:szCs w:val="24"/>
        </w:rPr>
        <w:t>,</w:t>
      </w:r>
      <w:r w:rsidR="00665FFA" w:rsidRPr="00094508">
        <w:rPr>
          <w:rFonts w:ascii="Times New Roman" w:hAnsi="Times New Roman" w:cs="Times New Roman"/>
          <w:sz w:val="24"/>
          <w:szCs w:val="24"/>
        </w:rPr>
        <w:t xml:space="preserve"> she </w:t>
      </w:r>
      <w:r w:rsidR="009C28E9">
        <w:rPr>
          <w:rFonts w:ascii="Times New Roman" w:hAnsi="Times New Roman" w:cs="Times New Roman"/>
          <w:sz w:val="24"/>
          <w:szCs w:val="24"/>
        </w:rPr>
        <w:t>wrote</w:t>
      </w:r>
      <w:r w:rsidR="00665FFA" w:rsidRPr="00094508">
        <w:rPr>
          <w:rFonts w:ascii="Times New Roman" w:hAnsi="Times New Roman" w:cs="Times New Roman"/>
          <w:sz w:val="24"/>
          <w:szCs w:val="24"/>
        </w:rPr>
        <w:t>, ‘Since then we’ve set aside $340 million in non-executive bonuses on top of 3 per cent annual wage increases</w:t>
      </w:r>
      <w:r w:rsidR="009C28E9">
        <w:rPr>
          <w:rFonts w:ascii="Times New Roman" w:hAnsi="Times New Roman" w:cs="Times New Roman"/>
          <w:sz w:val="24"/>
          <w:szCs w:val="24"/>
        </w:rPr>
        <w:t>.</w:t>
      </w:r>
      <w:r w:rsidR="000E43BB" w:rsidRPr="00094508">
        <w:rPr>
          <w:rFonts w:ascii="Times New Roman" w:hAnsi="Times New Roman" w:cs="Times New Roman"/>
          <w:sz w:val="24"/>
          <w:szCs w:val="24"/>
        </w:rPr>
        <w:t>’</w:t>
      </w:r>
      <w:r w:rsidR="00665FFA" w:rsidRPr="00094508">
        <w:rPr>
          <w:rFonts w:ascii="Times New Roman" w:hAnsi="Times New Roman" w:cs="Times New Roman"/>
          <w:sz w:val="24"/>
          <w:szCs w:val="24"/>
        </w:rPr>
        <w:t xml:space="preserve"> Qantas</w:t>
      </w:r>
      <w:r w:rsidR="009C28E9">
        <w:rPr>
          <w:rFonts w:ascii="Times New Roman" w:hAnsi="Times New Roman" w:cs="Times New Roman"/>
          <w:sz w:val="24"/>
          <w:szCs w:val="24"/>
        </w:rPr>
        <w:t>’s</w:t>
      </w:r>
      <w:r w:rsidR="00665FFA" w:rsidRPr="00094508">
        <w:rPr>
          <w:rFonts w:ascii="Times New Roman" w:hAnsi="Times New Roman" w:cs="Times New Roman"/>
          <w:sz w:val="24"/>
          <w:szCs w:val="24"/>
        </w:rPr>
        <w:t xml:space="preserve"> annual report 2019 states that ‘discretionary bonuses to non-executive employees’ </w:t>
      </w:r>
      <w:r w:rsidR="007A5065" w:rsidRPr="00094508">
        <w:rPr>
          <w:rFonts w:ascii="Times New Roman" w:hAnsi="Times New Roman" w:cs="Times New Roman"/>
          <w:sz w:val="24"/>
          <w:szCs w:val="24"/>
        </w:rPr>
        <w:t>would be</w:t>
      </w:r>
      <w:r w:rsidR="00665FFA" w:rsidRPr="00094508">
        <w:rPr>
          <w:rFonts w:ascii="Times New Roman" w:hAnsi="Times New Roman" w:cs="Times New Roman"/>
          <w:sz w:val="24"/>
          <w:szCs w:val="24"/>
        </w:rPr>
        <w:t xml:space="preserve"> AU$27 million in 2019</w:t>
      </w:r>
      <w:r w:rsidR="009C28E9">
        <w:rPr>
          <w:rFonts w:ascii="Times New Roman" w:hAnsi="Times New Roman" w:cs="Times New Roman"/>
          <w:sz w:val="24"/>
          <w:szCs w:val="24"/>
        </w:rPr>
        <w:t>.</w:t>
      </w:r>
      <w:r w:rsidR="007A5065" w:rsidRPr="00094508">
        <w:rPr>
          <w:rStyle w:val="FootnoteReference"/>
          <w:rFonts w:ascii="Times New Roman" w:hAnsi="Times New Roman" w:cs="Times New Roman"/>
          <w:sz w:val="24"/>
          <w:szCs w:val="24"/>
          <w:highlight w:val="yellow"/>
        </w:rPr>
        <w:footnoteReference w:id="21"/>
      </w:r>
      <w:r w:rsidR="00430BAA" w:rsidRPr="00094508">
        <w:rPr>
          <w:rFonts w:ascii="Times New Roman" w:hAnsi="Times New Roman" w:cs="Times New Roman"/>
          <w:sz w:val="24"/>
          <w:szCs w:val="24"/>
        </w:rPr>
        <w:t xml:space="preserve"> Qantas employs about 25,000 people.</w:t>
      </w:r>
    </w:p>
    <w:p w:rsidR="008B7615" w:rsidRPr="00094508" w:rsidRDefault="00430BAA"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 xml:space="preserve">The financial recovery of Qantas since 2014 was built </w:t>
      </w:r>
      <w:r w:rsidR="008B7615" w:rsidRPr="00094508">
        <w:rPr>
          <w:rFonts w:ascii="Times New Roman" w:hAnsi="Times New Roman" w:cs="Times New Roman"/>
          <w:sz w:val="24"/>
          <w:szCs w:val="24"/>
        </w:rPr>
        <w:t>significantly (but not entirely)</w:t>
      </w:r>
      <w:r w:rsidRPr="00094508">
        <w:rPr>
          <w:rFonts w:ascii="Times New Roman" w:hAnsi="Times New Roman" w:cs="Times New Roman"/>
          <w:sz w:val="24"/>
          <w:szCs w:val="24"/>
        </w:rPr>
        <w:t xml:space="preserve"> on </w:t>
      </w:r>
      <w:r w:rsidR="008B7615" w:rsidRPr="00094508">
        <w:rPr>
          <w:rFonts w:ascii="Times New Roman" w:hAnsi="Times New Roman" w:cs="Times New Roman"/>
          <w:sz w:val="24"/>
          <w:szCs w:val="24"/>
        </w:rPr>
        <w:t>wage cost savings. This</w:t>
      </w:r>
      <w:r w:rsidRPr="00094508">
        <w:rPr>
          <w:rFonts w:ascii="Times New Roman" w:hAnsi="Times New Roman" w:cs="Times New Roman"/>
          <w:sz w:val="24"/>
          <w:szCs w:val="24"/>
        </w:rPr>
        <w:t xml:space="preserve"> is not disputed. The ‘success’ of the airline</w:t>
      </w:r>
      <w:r w:rsidR="008B7615" w:rsidRPr="00094508">
        <w:rPr>
          <w:rFonts w:ascii="Times New Roman" w:hAnsi="Times New Roman" w:cs="Times New Roman"/>
          <w:sz w:val="24"/>
          <w:szCs w:val="24"/>
        </w:rPr>
        <w:t xml:space="preserve"> is judged on its profits. The new CFO boasts</w:t>
      </w:r>
      <w:r w:rsidR="009C28E9">
        <w:rPr>
          <w:rFonts w:ascii="Times New Roman" w:hAnsi="Times New Roman" w:cs="Times New Roman"/>
          <w:sz w:val="24"/>
          <w:szCs w:val="24"/>
        </w:rPr>
        <w:t>:</w:t>
      </w:r>
      <w:r w:rsidR="008B7615" w:rsidRPr="00094508">
        <w:rPr>
          <w:rFonts w:ascii="Times New Roman" w:hAnsi="Times New Roman" w:cs="Times New Roman"/>
          <w:sz w:val="24"/>
          <w:szCs w:val="24"/>
        </w:rPr>
        <w:t xml:space="preserve"> ‘And by next month, our shareholders will have received AU$5 billion through dividends and buybacks since 2015. It’s these same shareholders who decide what CEOs are paid</w:t>
      </w:r>
      <w:r w:rsidR="009C28E9">
        <w:rPr>
          <w:rFonts w:ascii="Times New Roman" w:hAnsi="Times New Roman" w:cs="Times New Roman"/>
          <w:sz w:val="24"/>
          <w:szCs w:val="24"/>
        </w:rPr>
        <w:t>.</w:t>
      </w:r>
      <w:r w:rsidR="008B7615" w:rsidRPr="00094508">
        <w:rPr>
          <w:rFonts w:ascii="Times New Roman" w:hAnsi="Times New Roman" w:cs="Times New Roman"/>
          <w:sz w:val="24"/>
          <w:szCs w:val="24"/>
        </w:rPr>
        <w:t>’ Seventy four per cent</w:t>
      </w:r>
      <w:r w:rsidR="001C67ED" w:rsidRPr="00094508">
        <w:rPr>
          <w:rFonts w:ascii="Times New Roman" w:hAnsi="Times New Roman" w:cs="Times New Roman"/>
          <w:sz w:val="24"/>
          <w:szCs w:val="24"/>
        </w:rPr>
        <w:t xml:space="preserve"> of Qantas shares are held by just four companies: HSBC Custody Nominees</w:t>
      </w:r>
      <w:r w:rsidR="009805CE" w:rsidRPr="00094508">
        <w:rPr>
          <w:rFonts w:ascii="Times New Roman" w:hAnsi="Times New Roman" w:cs="Times New Roman"/>
          <w:sz w:val="24"/>
          <w:szCs w:val="24"/>
        </w:rPr>
        <w:t xml:space="preserve"> (Australia)</w:t>
      </w:r>
      <w:r w:rsidR="001C67ED" w:rsidRPr="00094508">
        <w:rPr>
          <w:rFonts w:ascii="Times New Roman" w:hAnsi="Times New Roman" w:cs="Times New Roman"/>
          <w:sz w:val="24"/>
          <w:szCs w:val="24"/>
        </w:rPr>
        <w:t xml:space="preserve"> Ltd, JP Morgan Australia Nominees, Citicorp Nominees Pty. Ltd. and National Nominees Ltd.</w:t>
      </w:r>
      <w:r w:rsidR="003D6034" w:rsidRPr="00094508">
        <w:rPr>
          <w:rFonts w:ascii="Times New Roman" w:hAnsi="Times New Roman" w:cs="Times New Roman"/>
          <w:sz w:val="24"/>
          <w:szCs w:val="24"/>
        </w:rPr>
        <w:t xml:space="preserve"> (Annual Report, 2019: </w:t>
      </w:r>
      <w:r w:rsidRPr="00094508">
        <w:rPr>
          <w:rFonts w:ascii="Times New Roman" w:hAnsi="Times New Roman" w:cs="Times New Roman"/>
          <w:sz w:val="24"/>
          <w:szCs w:val="24"/>
        </w:rPr>
        <w:t>119)</w:t>
      </w:r>
      <w:r w:rsidR="008B7615" w:rsidRPr="00094508">
        <w:rPr>
          <w:rFonts w:ascii="Times New Roman" w:hAnsi="Times New Roman" w:cs="Times New Roman"/>
          <w:sz w:val="24"/>
          <w:szCs w:val="24"/>
        </w:rPr>
        <w:t>.</w:t>
      </w:r>
    </w:p>
    <w:p w:rsidR="009805CE" w:rsidRPr="00094508" w:rsidRDefault="009805CE" w:rsidP="00094508">
      <w:pPr>
        <w:spacing w:after="0" w:line="360" w:lineRule="auto"/>
        <w:ind w:firstLine="284"/>
        <w:contextualSpacing/>
        <w:rPr>
          <w:rFonts w:ascii="Times New Roman" w:hAnsi="Times New Roman" w:cs="Times New Roman"/>
          <w:sz w:val="24"/>
          <w:szCs w:val="24"/>
        </w:rPr>
      </w:pPr>
      <w:r w:rsidRPr="00094508">
        <w:rPr>
          <w:rFonts w:ascii="Times New Roman" w:hAnsi="Times New Roman" w:cs="Times New Roman"/>
          <w:sz w:val="24"/>
          <w:szCs w:val="24"/>
        </w:rPr>
        <w:t>In 2014</w:t>
      </w:r>
      <w:r w:rsidR="009C28E9">
        <w:rPr>
          <w:rFonts w:ascii="Times New Roman" w:hAnsi="Times New Roman" w:cs="Times New Roman"/>
          <w:sz w:val="24"/>
          <w:szCs w:val="24"/>
        </w:rPr>
        <w:t>,</w:t>
      </w:r>
      <w:r w:rsidR="00F92130" w:rsidRPr="00094508">
        <w:rPr>
          <w:rFonts w:ascii="Times New Roman" w:hAnsi="Times New Roman" w:cs="Times New Roman"/>
          <w:sz w:val="24"/>
          <w:szCs w:val="24"/>
        </w:rPr>
        <w:t xml:space="preserve"> Harvard Law School professor </w:t>
      </w:r>
      <w:r w:rsidRPr="00094508">
        <w:rPr>
          <w:rFonts w:ascii="Times New Roman" w:hAnsi="Times New Roman" w:cs="Times New Roman"/>
          <w:sz w:val="24"/>
          <w:szCs w:val="24"/>
        </w:rPr>
        <w:t>Cass Sunstein</w:t>
      </w:r>
      <w:r w:rsidR="00F92130" w:rsidRPr="00094508">
        <w:rPr>
          <w:rFonts w:ascii="Times New Roman" w:hAnsi="Times New Roman" w:cs="Times New Roman"/>
          <w:sz w:val="24"/>
          <w:szCs w:val="24"/>
        </w:rPr>
        <w:t xml:space="preserve"> argued, in response to Piketty, that people did not seem too bothered about inequality while average income was rising</w:t>
      </w:r>
      <w:r w:rsidR="009C28E9">
        <w:rPr>
          <w:rFonts w:ascii="Times New Roman" w:hAnsi="Times New Roman" w:cs="Times New Roman"/>
          <w:sz w:val="24"/>
          <w:szCs w:val="24"/>
        </w:rPr>
        <w:t>.</w:t>
      </w:r>
      <w:r w:rsidR="00BE2877" w:rsidRPr="00094508">
        <w:rPr>
          <w:rStyle w:val="FootnoteReference"/>
          <w:rFonts w:ascii="Times New Roman" w:hAnsi="Times New Roman" w:cs="Times New Roman"/>
          <w:sz w:val="24"/>
          <w:szCs w:val="24"/>
          <w:highlight w:val="yellow"/>
        </w:rPr>
        <w:footnoteReference w:id="22"/>
      </w:r>
      <w:r w:rsidR="00BE2877" w:rsidRPr="00094508">
        <w:rPr>
          <w:rFonts w:ascii="Times New Roman" w:hAnsi="Times New Roman" w:cs="Times New Roman"/>
          <w:sz w:val="24"/>
          <w:szCs w:val="24"/>
        </w:rPr>
        <w:t xml:space="preserve"> But</w:t>
      </w:r>
      <w:r w:rsidR="003D6034" w:rsidRPr="00094508">
        <w:rPr>
          <w:rFonts w:ascii="Times New Roman" w:hAnsi="Times New Roman" w:cs="Times New Roman"/>
          <w:sz w:val="24"/>
          <w:szCs w:val="24"/>
        </w:rPr>
        <w:t xml:space="preserve">, he wrote, </w:t>
      </w:r>
      <w:r w:rsidR="00BE2877" w:rsidRPr="00094508">
        <w:rPr>
          <w:rFonts w:ascii="Times New Roman" w:hAnsi="Times New Roman" w:cs="Times New Roman"/>
          <w:sz w:val="24"/>
          <w:szCs w:val="24"/>
        </w:rPr>
        <w:t>there is a risk that economic inequality might turn into political inequality: ‘the wealthiest people might be able to buy their preferred policies’. There is also a risk ‘</w:t>
      </w:r>
      <w:r w:rsidR="00F92130" w:rsidRPr="00094508">
        <w:rPr>
          <w:rFonts w:ascii="Times New Roman" w:hAnsi="Times New Roman" w:cs="Times New Roman"/>
          <w:sz w:val="24"/>
          <w:szCs w:val="24"/>
        </w:rPr>
        <w:t>that large disparities can have adverse effects on growth and produce a degree of demoralisation – in extreme cases, a degree of civil unrest’. To avoid that happening Sunstein praises Franklin D. Roosevelt’s call ‘for recognition of the right to a good education; the right to a useful and remunerative job; the right to earn enough to provide adequate food and clothing; the right to a decent home; the right to adequate medical care; and the right to adequate protection from the economic fears of old age, sickness, accident and unemployment</w:t>
      </w:r>
      <w:r w:rsidR="009C28E9">
        <w:rPr>
          <w:rFonts w:ascii="Times New Roman" w:hAnsi="Times New Roman" w:cs="Times New Roman"/>
          <w:sz w:val="24"/>
          <w:szCs w:val="24"/>
        </w:rPr>
        <w:t>.</w:t>
      </w:r>
      <w:r w:rsidR="00F92130" w:rsidRPr="00094508">
        <w:rPr>
          <w:rFonts w:ascii="Times New Roman" w:hAnsi="Times New Roman" w:cs="Times New Roman"/>
          <w:sz w:val="24"/>
          <w:szCs w:val="24"/>
        </w:rPr>
        <w:t>’</w:t>
      </w:r>
      <w:r w:rsidR="00412435" w:rsidRPr="00094508">
        <w:rPr>
          <w:rFonts w:ascii="Times New Roman" w:hAnsi="Times New Roman" w:cs="Times New Roman"/>
          <w:sz w:val="24"/>
          <w:szCs w:val="24"/>
        </w:rPr>
        <w:t xml:space="preserve"> The lack of just those rights around the world, coupled with vast inequality of wealth and income, have led since 2014 to exactly the dangers that Sunstein foresaw.</w:t>
      </w:r>
    </w:p>
    <w:p w:rsidR="00370EC8" w:rsidRPr="00094508" w:rsidRDefault="00665FFA" w:rsidP="00094508">
      <w:pPr>
        <w:spacing w:after="0" w:line="360" w:lineRule="auto"/>
        <w:contextualSpacing/>
        <w:rPr>
          <w:rFonts w:ascii="Times New Roman" w:hAnsi="Times New Roman" w:cs="Times New Roman"/>
          <w:sz w:val="24"/>
          <w:szCs w:val="24"/>
        </w:rPr>
      </w:pPr>
      <w:r w:rsidRPr="00094508">
        <w:rPr>
          <w:rFonts w:ascii="Times New Roman" w:hAnsi="Times New Roman" w:cs="Times New Roman"/>
          <w:sz w:val="24"/>
          <w:szCs w:val="24"/>
        </w:rPr>
        <w:t xml:space="preserve"> </w:t>
      </w:r>
    </w:p>
    <w:sectPr w:rsidR="00370EC8" w:rsidRPr="000945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2E6" w:rsidRDefault="00A052E6" w:rsidP="0008041C">
      <w:pPr>
        <w:spacing w:after="0" w:line="240" w:lineRule="auto"/>
      </w:pPr>
      <w:r>
        <w:separator/>
      </w:r>
    </w:p>
  </w:endnote>
  <w:endnote w:type="continuationSeparator" w:id="0">
    <w:p w:rsidR="00A052E6" w:rsidRDefault="00A052E6" w:rsidP="00080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2E6" w:rsidRDefault="00A052E6" w:rsidP="0008041C">
      <w:pPr>
        <w:spacing w:after="0" w:line="240" w:lineRule="auto"/>
      </w:pPr>
      <w:r>
        <w:separator/>
      </w:r>
    </w:p>
  </w:footnote>
  <w:footnote w:type="continuationSeparator" w:id="0">
    <w:p w:rsidR="00A052E6" w:rsidRDefault="00A052E6" w:rsidP="0008041C">
      <w:pPr>
        <w:spacing w:after="0" w:line="240" w:lineRule="auto"/>
      </w:pPr>
      <w:r>
        <w:continuationSeparator/>
      </w:r>
    </w:p>
  </w:footnote>
  <w:footnote w:id="1">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9C28E9">
        <w:rPr>
          <w:rFonts w:ascii="Times New Roman" w:hAnsi="Times New Roman" w:cs="Times New Roman"/>
          <w:sz w:val="22"/>
          <w:szCs w:val="22"/>
        </w:rPr>
        <w:t>.</w:t>
      </w:r>
      <w:r w:rsidR="009C28E9">
        <w:rPr>
          <w:rFonts w:ascii="Times New Roman" w:hAnsi="Times New Roman" w:cs="Times New Roman"/>
          <w:sz w:val="22"/>
          <w:szCs w:val="22"/>
        </w:rPr>
        <w:tab/>
      </w:r>
      <w:r w:rsidRPr="00094508">
        <w:rPr>
          <w:rFonts w:ascii="Times New Roman" w:hAnsi="Times New Roman" w:cs="Times New Roman"/>
          <w:sz w:val="22"/>
          <w:szCs w:val="22"/>
        </w:rPr>
        <w:t>http://www.abs.gov.au/ausstats/abs@.nsf/Lookup/by%20Subject/6102.0.55.001~Feb%202018~Main%20Features~Unemployment~6 (accessed 03/12/2018)</w:t>
      </w:r>
      <w:r w:rsidR="009C28E9">
        <w:rPr>
          <w:rFonts w:ascii="Times New Roman" w:hAnsi="Times New Roman" w:cs="Times New Roman"/>
          <w:sz w:val="22"/>
          <w:szCs w:val="22"/>
        </w:rPr>
        <w:t>.</w:t>
      </w:r>
    </w:p>
  </w:footnote>
  <w:footnote w:id="2">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9C28E9">
        <w:rPr>
          <w:rFonts w:ascii="Times New Roman" w:hAnsi="Times New Roman" w:cs="Times New Roman"/>
          <w:sz w:val="22"/>
          <w:szCs w:val="22"/>
        </w:rPr>
        <w:t>.</w:t>
      </w:r>
      <w:r w:rsidR="009C28E9">
        <w:rPr>
          <w:rFonts w:ascii="Times New Roman" w:hAnsi="Times New Roman" w:cs="Times New Roman"/>
          <w:sz w:val="22"/>
          <w:szCs w:val="22"/>
        </w:rPr>
        <w:tab/>
      </w:r>
      <w:r w:rsidRPr="00094508">
        <w:rPr>
          <w:rFonts w:ascii="Times New Roman" w:hAnsi="Times New Roman" w:cs="Times New Roman"/>
          <w:sz w:val="22"/>
          <w:szCs w:val="22"/>
        </w:rPr>
        <w:t>http://www.abs.gov.au/ausstats/abs@.nsf/Lookup/by%20Subject/6102.0.55.001~Feb%202018~Main%20Features~Unemployment~6 (accessed 04/12/2018)</w:t>
      </w:r>
      <w:r w:rsidR="009C28E9">
        <w:rPr>
          <w:rFonts w:ascii="Times New Roman" w:hAnsi="Times New Roman" w:cs="Times New Roman"/>
          <w:sz w:val="22"/>
          <w:szCs w:val="22"/>
        </w:rPr>
        <w:t>.</w:t>
      </w:r>
    </w:p>
  </w:footnote>
  <w:footnote w:id="3">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9C28E9">
        <w:rPr>
          <w:rFonts w:ascii="Times New Roman" w:hAnsi="Times New Roman" w:cs="Times New Roman"/>
          <w:sz w:val="22"/>
          <w:szCs w:val="22"/>
        </w:rPr>
        <w:t>.</w:t>
      </w:r>
      <w:r w:rsidR="009C28E9">
        <w:rPr>
          <w:rFonts w:ascii="Times New Roman" w:hAnsi="Times New Roman" w:cs="Times New Roman"/>
          <w:sz w:val="22"/>
          <w:szCs w:val="22"/>
        </w:rPr>
        <w:tab/>
      </w:r>
      <w:r w:rsidRPr="00094508">
        <w:rPr>
          <w:rFonts w:ascii="Times New Roman" w:hAnsi="Times New Roman" w:cs="Times New Roman"/>
          <w:sz w:val="22"/>
          <w:szCs w:val="22"/>
        </w:rPr>
        <w:t>https://www.statista.com/statistics/263695/unemployment-rate-in-australia/ (accessed 04/12/2018).</w:t>
      </w:r>
    </w:p>
  </w:footnote>
  <w:footnote w:id="4">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9C28E9">
        <w:rPr>
          <w:rFonts w:ascii="Times New Roman" w:hAnsi="Times New Roman" w:cs="Times New Roman"/>
          <w:sz w:val="22"/>
          <w:szCs w:val="22"/>
        </w:rPr>
        <w:t>.</w:t>
      </w:r>
      <w:r w:rsidR="009C28E9">
        <w:rPr>
          <w:rFonts w:ascii="Times New Roman" w:hAnsi="Times New Roman" w:cs="Times New Roman"/>
          <w:sz w:val="22"/>
          <w:szCs w:val="22"/>
        </w:rPr>
        <w:tab/>
      </w:r>
      <w:r w:rsidRPr="00094508">
        <w:rPr>
          <w:rFonts w:ascii="Times New Roman" w:hAnsi="Times New Roman" w:cs="Times New Roman"/>
          <w:sz w:val="22"/>
          <w:szCs w:val="22"/>
        </w:rPr>
        <w:t>https://www.humanservices.gov.au/individuals/services/centrelink/newstart-allowance/how-much-you-can-get (accessed 04/12/2018)</w:t>
      </w:r>
      <w:r w:rsidR="009C28E9">
        <w:rPr>
          <w:rFonts w:ascii="Times New Roman" w:hAnsi="Times New Roman" w:cs="Times New Roman"/>
          <w:sz w:val="22"/>
          <w:szCs w:val="22"/>
        </w:rPr>
        <w:t>.</w:t>
      </w:r>
    </w:p>
  </w:footnote>
  <w:footnote w:id="5">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9C28E9">
        <w:rPr>
          <w:rFonts w:ascii="Times New Roman" w:hAnsi="Times New Roman" w:cs="Times New Roman"/>
          <w:sz w:val="22"/>
          <w:szCs w:val="22"/>
        </w:rPr>
        <w:t>.</w:t>
      </w:r>
      <w:r w:rsidR="009C28E9">
        <w:rPr>
          <w:rFonts w:ascii="Times New Roman" w:hAnsi="Times New Roman" w:cs="Times New Roman"/>
          <w:sz w:val="22"/>
          <w:szCs w:val="22"/>
        </w:rPr>
        <w:tab/>
      </w:r>
      <w:r w:rsidRPr="00094508">
        <w:rPr>
          <w:rFonts w:ascii="Times New Roman" w:hAnsi="Times New Roman" w:cs="Times New Roman"/>
          <w:sz w:val="22"/>
          <w:szCs w:val="22"/>
        </w:rPr>
        <w:t>https://www.rent.com.au/blog/melbourne-shared-living (accessed 03/12/2018).</w:t>
      </w:r>
    </w:p>
  </w:footnote>
  <w:footnote w:id="6">
    <w:p w:rsidR="002620AC" w:rsidRPr="00094508" w:rsidRDefault="002620AC" w:rsidP="00094508">
      <w:pPr>
        <w:pStyle w:val="NoSpacing"/>
        <w:spacing w:line="360" w:lineRule="auto"/>
        <w:rPr>
          <w:rFonts w:ascii="Times New Roman" w:hAnsi="Times New Roman" w:cs="Times New Roman"/>
        </w:rPr>
      </w:pPr>
      <w:r w:rsidRPr="00094508">
        <w:rPr>
          <w:rStyle w:val="FootnoteReference"/>
          <w:rFonts w:ascii="Times New Roman" w:hAnsi="Times New Roman" w:cs="Times New Roman"/>
        </w:rPr>
        <w:footnoteRef/>
      </w:r>
      <w:r w:rsidR="009C28E9">
        <w:rPr>
          <w:rFonts w:ascii="Times New Roman" w:hAnsi="Times New Roman" w:cs="Times New Roman"/>
        </w:rPr>
        <w:t>.</w:t>
      </w:r>
      <w:r w:rsidR="009C28E9">
        <w:rPr>
          <w:rFonts w:ascii="Times New Roman" w:hAnsi="Times New Roman" w:cs="Times New Roman"/>
        </w:rPr>
        <w:tab/>
      </w:r>
      <w:r w:rsidRPr="00094508">
        <w:rPr>
          <w:rFonts w:ascii="Times New Roman" w:hAnsi="Times New Roman" w:cs="Times New Roman"/>
        </w:rPr>
        <w:t xml:space="preserve">https://www.expatistan.com/price/studio-rent-normal-area/melbourne (accessed 04/12/2018). Emma King, CEO of the Victorian Council of Social Service (VCOSS), states that a </w:t>
      </w:r>
      <w:r w:rsidR="009C28E9" w:rsidRPr="00094508">
        <w:rPr>
          <w:rFonts w:ascii="Times New Roman" w:hAnsi="Times New Roman" w:cs="Times New Roman"/>
        </w:rPr>
        <w:t>one</w:t>
      </w:r>
      <w:r w:rsidR="009C28E9">
        <w:rPr>
          <w:rFonts w:ascii="Times New Roman" w:hAnsi="Times New Roman" w:cs="Times New Roman"/>
        </w:rPr>
        <w:t>-</w:t>
      </w:r>
      <w:r w:rsidRPr="00094508">
        <w:rPr>
          <w:rFonts w:ascii="Times New Roman" w:hAnsi="Times New Roman" w:cs="Times New Roman"/>
        </w:rPr>
        <w:t>bedroom apartment in Melbourne will cost $680 per fortnight (https://www.abc.net.au/news/2017-07-18/rental-affordability-at-record-low-in-victoria/8676532 (accessed 04/12/2018).</w:t>
      </w:r>
    </w:p>
  </w:footnote>
  <w:footnote w:id="7">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9C28E9">
        <w:rPr>
          <w:rFonts w:ascii="Times New Roman" w:hAnsi="Times New Roman" w:cs="Times New Roman"/>
          <w:sz w:val="22"/>
          <w:szCs w:val="22"/>
        </w:rPr>
        <w:t>.</w:t>
      </w:r>
      <w:r w:rsidR="009C28E9">
        <w:rPr>
          <w:rFonts w:ascii="Times New Roman" w:hAnsi="Times New Roman" w:cs="Times New Roman"/>
          <w:sz w:val="22"/>
          <w:szCs w:val="22"/>
        </w:rPr>
        <w:tab/>
      </w:r>
      <w:r w:rsidRPr="00094508">
        <w:rPr>
          <w:rFonts w:ascii="Times New Roman" w:hAnsi="Times New Roman" w:cs="Times New Roman"/>
          <w:sz w:val="22"/>
          <w:szCs w:val="22"/>
        </w:rPr>
        <w:t>http://www.housing.vic.gov.au/public-housing#how-much-rent-will-i-pay (accessed 04/12/2018).</w:t>
      </w:r>
    </w:p>
  </w:footnote>
  <w:footnote w:id="8">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9C28E9">
        <w:rPr>
          <w:rFonts w:ascii="Times New Roman" w:hAnsi="Times New Roman" w:cs="Times New Roman"/>
          <w:sz w:val="22"/>
          <w:szCs w:val="22"/>
        </w:rPr>
        <w:t>.</w:t>
      </w:r>
      <w:r w:rsidR="009C28E9">
        <w:rPr>
          <w:rFonts w:ascii="Times New Roman" w:hAnsi="Times New Roman" w:cs="Times New Roman"/>
          <w:sz w:val="22"/>
          <w:szCs w:val="22"/>
        </w:rPr>
        <w:tab/>
      </w:r>
      <w:r w:rsidRPr="00094508">
        <w:rPr>
          <w:rFonts w:ascii="Times New Roman" w:hAnsi="Times New Roman" w:cs="Times New Roman"/>
          <w:sz w:val="22"/>
          <w:szCs w:val="22"/>
        </w:rPr>
        <w:t>https://www.abc.net.au/news/2018-06-06/victorias-public-housing-waiting-list-growing-by-500-a-week/9837934 (accessed 04/12/2018).</w:t>
      </w:r>
    </w:p>
  </w:footnote>
  <w:footnote w:id="9">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9C28E9">
        <w:rPr>
          <w:rFonts w:ascii="Times New Roman" w:hAnsi="Times New Roman" w:cs="Times New Roman"/>
          <w:sz w:val="22"/>
          <w:szCs w:val="22"/>
        </w:rPr>
        <w:t>.</w:t>
      </w:r>
      <w:r w:rsidR="009C28E9">
        <w:rPr>
          <w:rFonts w:ascii="Times New Roman" w:hAnsi="Times New Roman" w:cs="Times New Roman"/>
          <w:sz w:val="22"/>
          <w:szCs w:val="22"/>
        </w:rPr>
        <w:tab/>
      </w:r>
      <w:r w:rsidRPr="00094508">
        <w:rPr>
          <w:rFonts w:ascii="Times New Roman" w:hAnsi="Times New Roman" w:cs="Times New Roman"/>
          <w:sz w:val="22"/>
          <w:szCs w:val="22"/>
        </w:rPr>
        <w:t>https://www.theguardian.com/australia-news/2017/jun/21/senate-inquiry (accessed 17/07/2017).</w:t>
      </w:r>
    </w:p>
  </w:footnote>
  <w:footnote w:id="10">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9C28E9">
        <w:rPr>
          <w:rFonts w:ascii="Times New Roman" w:hAnsi="Times New Roman" w:cs="Times New Roman"/>
          <w:sz w:val="22"/>
          <w:szCs w:val="22"/>
        </w:rPr>
        <w:t>.</w:t>
      </w:r>
      <w:r w:rsidR="009C28E9">
        <w:rPr>
          <w:rFonts w:ascii="Times New Roman" w:hAnsi="Times New Roman" w:cs="Times New Roman"/>
          <w:sz w:val="22"/>
          <w:szCs w:val="22"/>
        </w:rPr>
        <w:tab/>
      </w:r>
      <w:r w:rsidRPr="00094508">
        <w:rPr>
          <w:rFonts w:ascii="Times New Roman" w:hAnsi="Times New Roman" w:cs="Times New Roman"/>
          <w:sz w:val="22"/>
          <w:szCs w:val="22"/>
        </w:rPr>
        <w:t>Report by Tom McIlroy, citing Independent MP Andrew Wilkie, ‘Ombudsman investigates Centrelink’</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w:t>
      </w:r>
      <w:r w:rsidRPr="00094508">
        <w:rPr>
          <w:rFonts w:ascii="Times New Roman" w:hAnsi="Times New Roman" w:cs="Times New Roman"/>
          <w:i/>
          <w:sz w:val="22"/>
          <w:szCs w:val="22"/>
        </w:rPr>
        <w:t>The Age</w:t>
      </w:r>
      <w:r w:rsidR="006D7CC3" w:rsidRPr="00094508">
        <w:rPr>
          <w:rFonts w:ascii="Times New Roman" w:hAnsi="Times New Roman" w:cs="Times New Roman"/>
          <w:sz w:val="22"/>
          <w:szCs w:val="22"/>
        </w:rPr>
        <w:t xml:space="preserve">, </w:t>
      </w:r>
      <w:r w:rsidRPr="00094508">
        <w:rPr>
          <w:rFonts w:ascii="Times New Roman" w:hAnsi="Times New Roman" w:cs="Times New Roman"/>
          <w:sz w:val="22"/>
          <w:szCs w:val="22"/>
        </w:rPr>
        <w:t>10</w:t>
      </w:r>
      <w:r w:rsidR="006D7CC3">
        <w:rPr>
          <w:rFonts w:ascii="Times New Roman" w:hAnsi="Times New Roman" w:cs="Times New Roman"/>
          <w:sz w:val="22"/>
          <w:szCs w:val="22"/>
        </w:rPr>
        <w:t xml:space="preserve"> January </w:t>
      </w:r>
      <w:r w:rsidRPr="00094508">
        <w:rPr>
          <w:rFonts w:ascii="Times New Roman" w:hAnsi="Times New Roman" w:cs="Times New Roman"/>
          <w:sz w:val="22"/>
          <w:szCs w:val="22"/>
        </w:rPr>
        <w:t>2017</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4</w:t>
      </w:r>
      <w:r w:rsidR="006D7CC3">
        <w:rPr>
          <w:rFonts w:ascii="Times New Roman" w:hAnsi="Times New Roman" w:cs="Times New Roman"/>
          <w:sz w:val="22"/>
          <w:szCs w:val="22"/>
        </w:rPr>
        <w:t>.</w:t>
      </w:r>
    </w:p>
  </w:footnote>
  <w:footnote w:id="11">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r>
      <w:r w:rsidRPr="00094508">
        <w:rPr>
          <w:rFonts w:ascii="Times New Roman" w:hAnsi="Times New Roman" w:cs="Times New Roman"/>
          <w:sz w:val="22"/>
          <w:szCs w:val="22"/>
        </w:rPr>
        <w:t xml:space="preserve">Doug Dingwall, </w:t>
      </w:r>
      <w:r w:rsidR="006D7CC3">
        <w:rPr>
          <w:rFonts w:ascii="Times New Roman" w:hAnsi="Times New Roman" w:cs="Times New Roman"/>
          <w:sz w:val="22"/>
          <w:szCs w:val="22"/>
        </w:rPr>
        <w:t>‘</w:t>
      </w:r>
      <w:r w:rsidRPr="00094508">
        <w:rPr>
          <w:rFonts w:ascii="Times New Roman" w:hAnsi="Times New Roman" w:cs="Times New Roman"/>
          <w:sz w:val="22"/>
          <w:szCs w:val="22"/>
        </w:rPr>
        <w:t>“No party poppers” as Centrelink woes persist’</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w:t>
      </w:r>
      <w:r w:rsidRPr="00094508">
        <w:rPr>
          <w:rFonts w:ascii="Times New Roman" w:hAnsi="Times New Roman" w:cs="Times New Roman"/>
          <w:i/>
          <w:sz w:val="22"/>
          <w:szCs w:val="22"/>
        </w:rPr>
        <w:t>The Age</w:t>
      </w:r>
      <w:r w:rsidR="006D7CC3" w:rsidRPr="00094508">
        <w:rPr>
          <w:rFonts w:ascii="Times New Roman" w:hAnsi="Times New Roman" w:cs="Times New Roman"/>
          <w:sz w:val="22"/>
          <w:szCs w:val="22"/>
        </w:rPr>
        <w:t>,</w:t>
      </w:r>
      <w:r w:rsidRPr="00094508">
        <w:rPr>
          <w:rFonts w:ascii="Times New Roman" w:hAnsi="Times New Roman" w:cs="Times New Roman"/>
          <w:sz w:val="22"/>
          <w:szCs w:val="22"/>
        </w:rPr>
        <w:t xml:space="preserve"> 30</w:t>
      </w:r>
      <w:r w:rsidR="006D7CC3">
        <w:rPr>
          <w:rFonts w:ascii="Times New Roman" w:hAnsi="Times New Roman" w:cs="Times New Roman"/>
          <w:sz w:val="22"/>
          <w:szCs w:val="22"/>
        </w:rPr>
        <w:t xml:space="preserve"> October 2018: </w:t>
      </w:r>
      <w:r w:rsidRPr="00094508">
        <w:rPr>
          <w:rFonts w:ascii="Times New Roman" w:hAnsi="Times New Roman" w:cs="Times New Roman"/>
          <w:sz w:val="22"/>
          <w:szCs w:val="22"/>
        </w:rPr>
        <w:t>4.</w:t>
      </w:r>
    </w:p>
  </w:footnote>
  <w:footnote w:id="12">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r>
      <w:r w:rsidRPr="00094508">
        <w:rPr>
          <w:rFonts w:ascii="Times New Roman" w:hAnsi="Times New Roman" w:cs="Times New Roman"/>
          <w:sz w:val="22"/>
          <w:szCs w:val="22"/>
        </w:rPr>
        <w:t>Bianca Hartge-Hazelman</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‘Centrelink overload hurts families’</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w:t>
      </w:r>
      <w:r w:rsidRPr="00094508">
        <w:rPr>
          <w:rFonts w:ascii="Times New Roman" w:hAnsi="Times New Roman" w:cs="Times New Roman"/>
          <w:i/>
          <w:sz w:val="22"/>
          <w:szCs w:val="22"/>
        </w:rPr>
        <w:t>The Age</w:t>
      </w:r>
      <w:r w:rsidRPr="00094508">
        <w:rPr>
          <w:rFonts w:ascii="Times New Roman" w:hAnsi="Times New Roman" w:cs="Times New Roman"/>
          <w:sz w:val="22"/>
          <w:szCs w:val="22"/>
        </w:rPr>
        <w:t xml:space="preserve">, </w:t>
      </w:r>
      <w:r w:rsidR="006D7CC3">
        <w:rPr>
          <w:rFonts w:ascii="Times New Roman" w:hAnsi="Times New Roman" w:cs="Times New Roman"/>
          <w:sz w:val="22"/>
          <w:szCs w:val="22"/>
        </w:rPr>
        <w:t xml:space="preserve">8 February </w:t>
      </w:r>
      <w:r w:rsidRPr="00094508">
        <w:rPr>
          <w:rFonts w:ascii="Times New Roman" w:hAnsi="Times New Roman" w:cs="Times New Roman"/>
          <w:sz w:val="22"/>
          <w:szCs w:val="22"/>
        </w:rPr>
        <w:t>2017</w:t>
      </w:r>
      <w:r w:rsidR="006D7CC3">
        <w:rPr>
          <w:rFonts w:ascii="Times New Roman" w:hAnsi="Times New Roman" w:cs="Times New Roman"/>
          <w:sz w:val="22"/>
          <w:szCs w:val="22"/>
        </w:rPr>
        <w:t xml:space="preserve">: </w:t>
      </w:r>
      <w:r w:rsidRPr="00094508">
        <w:rPr>
          <w:rFonts w:ascii="Times New Roman" w:hAnsi="Times New Roman" w:cs="Times New Roman"/>
          <w:sz w:val="22"/>
          <w:szCs w:val="22"/>
        </w:rPr>
        <w:t>4.</w:t>
      </w:r>
    </w:p>
  </w:footnote>
  <w:footnote w:id="13">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r>
      <w:r w:rsidRPr="00094508">
        <w:rPr>
          <w:rFonts w:ascii="Times New Roman" w:hAnsi="Times New Roman" w:cs="Times New Roman"/>
          <w:sz w:val="22"/>
          <w:szCs w:val="22"/>
        </w:rPr>
        <w:t>https://www.abc.net.au/news/2017-07-18/rental-affordability-at-record-low-in-victoria/8676532 (accessed 04/12/2018).</w:t>
      </w:r>
    </w:p>
  </w:footnote>
  <w:footnote w:id="14">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r>
      <w:r w:rsidRPr="00094508">
        <w:rPr>
          <w:rFonts w:ascii="Times New Roman" w:hAnsi="Times New Roman" w:cs="Times New Roman"/>
          <w:sz w:val="22"/>
          <w:szCs w:val="22"/>
        </w:rPr>
        <w:t>Food insecurity across Europe ranged from 19.6% of the population in Lithuania to 3.1% in Sweden. The UK recorded 10.1% of the population (</w:t>
      </w:r>
      <w:r w:rsidR="008842CF">
        <w:rPr>
          <w:rFonts w:ascii="Times New Roman" w:hAnsi="Times New Roman" w:cs="Times New Roman"/>
          <w:sz w:val="22"/>
          <w:szCs w:val="22"/>
        </w:rPr>
        <w:t xml:space="preserve">see </w:t>
      </w:r>
      <w:r w:rsidR="000150E8">
        <w:rPr>
          <w:rFonts w:ascii="Times New Roman" w:hAnsi="Times New Roman" w:cs="Times New Roman"/>
          <w:sz w:val="22"/>
          <w:szCs w:val="22"/>
        </w:rPr>
        <w:t xml:space="preserve">R. </w:t>
      </w:r>
      <w:r w:rsidRPr="00094508">
        <w:rPr>
          <w:rFonts w:ascii="Times New Roman" w:hAnsi="Times New Roman" w:cs="Times New Roman"/>
          <w:sz w:val="22"/>
          <w:szCs w:val="22"/>
        </w:rPr>
        <w:t xml:space="preserve">Loopstra, </w:t>
      </w:r>
      <w:r w:rsidR="000150E8">
        <w:rPr>
          <w:rFonts w:ascii="Times New Roman" w:hAnsi="Times New Roman" w:cs="Times New Roman"/>
          <w:sz w:val="22"/>
          <w:szCs w:val="22"/>
        </w:rPr>
        <w:t xml:space="preserve">A. </w:t>
      </w:r>
      <w:r w:rsidRPr="00094508">
        <w:rPr>
          <w:rFonts w:ascii="Times New Roman" w:hAnsi="Times New Roman" w:cs="Times New Roman"/>
          <w:sz w:val="22"/>
          <w:szCs w:val="22"/>
        </w:rPr>
        <w:t xml:space="preserve">Reeves and </w:t>
      </w:r>
      <w:r w:rsidR="000150E8">
        <w:rPr>
          <w:rFonts w:ascii="Times New Roman" w:hAnsi="Times New Roman" w:cs="Times New Roman"/>
          <w:sz w:val="22"/>
          <w:szCs w:val="22"/>
        </w:rPr>
        <w:t xml:space="preserve">D. </w:t>
      </w:r>
      <w:r w:rsidRPr="00094508">
        <w:rPr>
          <w:rFonts w:ascii="Times New Roman" w:hAnsi="Times New Roman" w:cs="Times New Roman"/>
          <w:sz w:val="22"/>
          <w:szCs w:val="22"/>
        </w:rPr>
        <w:t>Stuckler</w:t>
      </w:r>
      <w:r w:rsidR="000150E8">
        <w:rPr>
          <w:rFonts w:ascii="Times New Roman" w:hAnsi="Times New Roman" w:cs="Times New Roman"/>
          <w:sz w:val="22"/>
          <w:szCs w:val="22"/>
        </w:rPr>
        <w:t>,</w:t>
      </w:r>
      <w:r w:rsidRPr="00094508">
        <w:rPr>
          <w:rFonts w:ascii="Times New Roman" w:hAnsi="Times New Roman" w:cs="Times New Roman"/>
          <w:sz w:val="22"/>
          <w:szCs w:val="22"/>
        </w:rPr>
        <w:t xml:space="preserve"> 2015</w:t>
      </w:r>
      <w:r w:rsidR="000150E8">
        <w:rPr>
          <w:rFonts w:ascii="Times New Roman" w:hAnsi="Times New Roman" w:cs="Times New Roman"/>
          <w:sz w:val="22"/>
          <w:szCs w:val="22"/>
        </w:rPr>
        <w:t xml:space="preserve">, </w:t>
      </w:r>
      <w:r w:rsidR="008842CF">
        <w:rPr>
          <w:rFonts w:ascii="Times New Roman" w:hAnsi="Times New Roman" w:cs="Times New Roman"/>
          <w:sz w:val="22"/>
          <w:szCs w:val="22"/>
        </w:rPr>
        <w:t>‘</w:t>
      </w:r>
      <w:r w:rsidR="000150E8">
        <w:rPr>
          <w:rFonts w:ascii="Times New Roman" w:hAnsi="Times New Roman" w:cs="Times New Roman"/>
          <w:sz w:val="22"/>
          <w:szCs w:val="22"/>
        </w:rPr>
        <w:t xml:space="preserve">Rising food insecurity in Europe’, </w:t>
      </w:r>
      <w:r w:rsidR="000150E8" w:rsidRPr="00094508">
        <w:rPr>
          <w:rFonts w:ascii="Times New Roman" w:hAnsi="Times New Roman" w:cs="Times New Roman"/>
          <w:i/>
          <w:sz w:val="22"/>
          <w:szCs w:val="22"/>
        </w:rPr>
        <w:t xml:space="preserve">The </w:t>
      </w:r>
      <w:r w:rsidR="008842CF" w:rsidRPr="00094508">
        <w:rPr>
          <w:rFonts w:ascii="Times New Roman" w:hAnsi="Times New Roman" w:cs="Times New Roman"/>
          <w:i/>
          <w:sz w:val="22"/>
          <w:szCs w:val="22"/>
        </w:rPr>
        <w:t>L</w:t>
      </w:r>
      <w:r w:rsidR="000150E8" w:rsidRPr="00094508">
        <w:rPr>
          <w:rFonts w:ascii="Times New Roman" w:hAnsi="Times New Roman" w:cs="Times New Roman"/>
          <w:i/>
          <w:sz w:val="22"/>
          <w:szCs w:val="22"/>
        </w:rPr>
        <w:t>ancet</w:t>
      </w:r>
      <w:r w:rsidR="000150E8">
        <w:rPr>
          <w:rFonts w:ascii="Times New Roman" w:hAnsi="Times New Roman" w:cs="Times New Roman"/>
          <w:sz w:val="22"/>
          <w:szCs w:val="22"/>
        </w:rPr>
        <w:t xml:space="preserve">, </w:t>
      </w:r>
      <w:r w:rsidR="008842CF">
        <w:rPr>
          <w:rFonts w:ascii="Times New Roman" w:hAnsi="Times New Roman" w:cs="Times New Roman"/>
          <w:sz w:val="22"/>
          <w:szCs w:val="22"/>
        </w:rPr>
        <w:t>385(9982))</w:t>
      </w:r>
      <w:r w:rsidR="006D7CC3">
        <w:rPr>
          <w:rFonts w:ascii="Times New Roman" w:hAnsi="Times New Roman" w:cs="Times New Roman"/>
          <w:sz w:val="22"/>
          <w:szCs w:val="22"/>
        </w:rPr>
        <w:t>.</w:t>
      </w:r>
    </w:p>
  </w:footnote>
  <w:footnote w:id="15">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t xml:space="preserve">J. </w:t>
      </w:r>
      <w:r w:rsidRPr="00094508">
        <w:rPr>
          <w:rFonts w:ascii="Times New Roman" w:hAnsi="Times New Roman" w:cs="Times New Roman"/>
          <w:sz w:val="22"/>
          <w:szCs w:val="22"/>
        </w:rPr>
        <w:t>Stensholt (2018)</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w:t>
      </w:r>
      <w:r w:rsidRPr="00094508">
        <w:rPr>
          <w:rFonts w:ascii="Times New Roman" w:hAnsi="Times New Roman" w:cs="Times New Roman"/>
          <w:i/>
          <w:sz w:val="22"/>
          <w:szCs w:val="22"/>
        </w:rPr>
        <w:t>Australian Financial Review Magazine</w:t>
      </w:r>
      <w:r w:rsidRPr="00094508">
        <w:rPr>
          <w:rFonts w:ascii="Times New Roman" w:hAnsi="Times New Roman" w:cs="Times New Roman"/>
          <w:sz w:val="22"/>
          <w:szCs w:val="22"/>
        </w:rPr>
        <w:t>, June: 4.</w:t>
      </w:r>
    </w:p>
  </w:footnote>
  <w:footnote w:id="16">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r>
      <w:r w:rsidRPr="00094508">
        <w:rPr>
          <w:rFonts w:ascii="Times New Roman" w:hAnsi="Times New Roman" w:cs="Times New Roman"/>
          <w:sz w:val="22"/>
          <w:szCs w:val="22"/>
        </w:rPr>
        <w:t>https://www.education.vic.gov.au/about/educationstate/Pages/budget.aspx (accessed 29/10/2019).</w:t>
      </w:r>
    </w:p>
  </w:footnote>
  <w:footnote w:id="17">
    <w:p w:rsidR="0030123D" w:rsidRPr="00094508" w:rsidRDefault="0030123D"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t xml:space="preserve">D. </w:t>
      </w:r>
      <w:r w:rsidRPr="00094508">
        <w:rPr>
          <w:rFonts w:ascii="Times New Roman" w:hAnsi="Times New Roman" w:cs="Times New Roman"/>
          <w:sz w:val="22"/>
          <w:szCs w:val="22"/>
        </w:rPr>
        <w:t>Crowe (2019)</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‘Australia’s democracy is for sale’, </w:t>
      </w:r>
      <w:r w:rsidRPr="00094508">
        <w:rPr>
          <w:rFonts w:ascii="Times New Roman" w:hAnsi="Times New Roman" w:cs="Times New Roman"/>
          <w:i/>
          <w:sz w:val="22"/>
          <w:szCs w:val="22"/>
        </w:rPr>
        <w:t>The Age</w:t>
      </w:r>
      <w:r w:rsidRPr="00094508">
        <w:rPr>
          <w:rFonts w:ascii="Times New Roman" w:hAnsi="Times New Roman" w:cs="Times New Roman"/>
          <w:sz w:val="22"/>
          <w:szCs w:val="22"/>
        </w:rPr>
        <w:t>, 25</w:t>
      </w:r>
      <w:r w:rsidR="006D7CC3">
        <w:rPr>
          <w:rFonts w:ascii="Times New Roman" w:hAnsi="Times New Roman" w:cs="Times New Roman"/>
          <w:sz w:val="22"/>
          <w:szCs w:val="22"/>
        </w:rPr>
        <w:t xml:space="preserve"> October</w:t>
      </w:r>
      <w:r w:rsidRPr="00094508">
        <w:rPr>
          <w:rFonts w:ascii="Times New Roman" w:hAnsi="Times New Roman" w:cs="Times New Roman"/>
          <w:sz w:val="22"/>
          <w:szCs w:val="22"/>
        </w:rPr>
        <w:t>: 19.</w:t>
      </w:r>
    </w:p>
  </w:footnote>
  <w:footnote w:id="18">
    <w:p w:rsidR="0030123D" w:rsidRPr="00094508" w:rsidRDefault="0030123D"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t xml:space="preserve">B. </w:t>
      </w:r>
      <w:r w:rsidRPr="00094508">
        <w:rPr>
          <w:rFonts w:ascii="Times New Roman" w:hAnsi="Times New Roman" w:cs="Times New Roman"/>
          <w:sz w:val="22"/>
          <w:szCs w:val="22"/>
        </w:rPr>
        <w:t xml:space="preserve">Smee </w:t>
      </w:r>
      <w:r w:rsidR="006D7CC3">
        <w:rPr>
          <w:rFonts w:ascii="Times New Roman" w:hAnsi="Times New Roman" w:cs="Times New Roman"/>
          <w:sz w:val="22"/>
          <w:szCs w:val="22"/>
        </w:rPr>
        <w:t>(</w:t>
      </w:r>
      <w:r w:rsidRPr="00094508">
        <w:rPr>
          <w:rFonts w:ascii="Times New Roman" w:hAnsi="Times New Roman" w:cs="Times New Roman"/>
          <w:sz w:val="22"/>
          <w:szCs w:val="22"/>
        </w:rPr>
        <w:t>2019)</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‘Clive Palmer company reapplies for mine four times size of Adani’s Carmichael’</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w:t>
      </w:r>
      <w:r w:rsidRPr="00094508">
        <w:rPr>
          <w:rFonts w:ascii="Times New Roman" w:hAnsi="Times New Roman" w:cs="Times New Roman"/>
          <w:i/>
          <w:sz w:val="22"/>
          <w:szCs w:val="22"/>
        </w:rPr>
        <w:t>The Guardian</w:t>
      </w:r>
      <w:r w:rsidRPr="00094508">
        <w:rPr>
          <w:rFonts w:ascii="Times New Roman" w:hAnsi="Times New Roman" w:cs="Times New Roman"/>
          <w:sz w:val="22"/>
          <w:szCs w:val="22"/>
        </w:rPr>
        <w:t>, 28</w:t>
      </w:r>
      <w:r w:rsidR="006D7CC3">
        <w:rPr>
          <w:rFonts w:ascii="Times New Roman" w:hAnsi="Times New Roman" w:cs="Times New Roman"/>
          <w:sz w:val="22"/>
          <w:szCs w:val="22"/>
        </w:rPr>
        <w:t xml:space="preserve"> October</w:t>
      </w:r>
      <w:r w:rsidRPr="00094508">
        <w:rPr>
          <w:rFonts w:ascii="Times New Roman" w:hAnsi="Times New Roman" w:cs="Times New Roman"/>
          <w:sz w:val="22"/>
          <w:szCs w:val="22"/>
        </w:rPr>
        <w:t xml:space="preserve">, </w:t>
      </w:r>
      <w:r w:rsidR="008A4DCD" w:rsidRPr="00094508">
        <w:rPr>
          <w:rFonts w:ascii="Times New Roman" w:hAnsi="Times New Roman" w:cs="Times New Roman"/>
          <w:sz w:val="22"/>
          <w:szCs w:val="22"/>
        </w:rPr>
        <w:t>https://www.theguardian.com/australia-news/2019/oct/22/clive-palmer-company-re-applies-for-mine-four-times-size-of-adanis-carmichael.</w:t>
      </w:r>
    </w:p>
  </w:footnote>
  <w:footnote w:id="19">
    <w:p w:rsidR="00666B12" w:rsidRPr="00094508" w:rsidRDefault="00666B12"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r>
      <w:r w:rsidRPr="00094508">
        <w:rPr>
          <w:rFonts w:ascii="Times New Roman" w:hAnsi="Times New Roman" w:cs="Times New Roman"/>
          <w:sz w:val="22"/>
          <w:szCs w:val="22"/>
        </w:rPr>
        <w:t>‘Albanese backs coal exports’</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w:t>
      </w:r>
      <w:r w:rsidRPr="00094508">
        <w:rPr>
          <w:rFonts w:ascii="Times New Roman" w:hAnsi="Times New Roman" w:cs="Times New Roman"/>
          <w:i/>
          <w:sz w:val="22"/>
          <w:szCs w:val="22"/>
        </w:rPr>
        <w:t>The Age</w:t>
      </w:r>
      <w:r w:rsidR="0010630F" w:rsidRPr="00094508">
        <w:rPr>
          <w:rFonts w:ascii="Times New Roman" w:hAnsi="Times New Roman" w:cs="Times New Roman"/>
          <w:sz w:val="22"/>
          <w:szCs w:val="22"/>
        </w:rPr>
        <w:t xml:space="preserve">, </w:t>
      </w:r>
      <w:r w:rsidR="006D7CC3">
        <w:rPr>
          <w:rFonts w:ascii="Times New Roman" w:hAnsi="Times New Roman" w:cs="Times New Roman"/>
          <w:sz w:val="22"/>
          <w:szCs w:val="22"/>
        </w:rPr>
        <w:t xml:space="preserve">9 December </w:t>
      </w:r>
      <w:r w:rsidR="0010630F" w:rsidRPr="00094508">
        <w:rPr>
          <w:rFonts w:ascii="Times New Roman" w:hAnsi="Times New Roman" w:cs="Times New Roman"/>
          <w:sz w:val="22"/>
          <w:szCs w:val="22"/>
        </w:rPr>
        <w:t>2019:</w:t>
      </w:r>
      <w:r w:rsidR="006D7CC3">
        <w:rPr>
          <w:rFonts w:ascii="Times New Roman" w:hAnsi="Times New Roman" w:cs="Times New Roman"/>
          <w:sz w:val="22"/>
          <w:szCs w:val="22"/>
        </w:rPr>
        <w:t xml:space="preserve"> </w:t>
      </w:r>
      <w:r w:rsidRPr="00094508">
        <w:rPr>
          <w:rFonts w:ascii="Times New Roman" w:hAnsi="Times New Roman" w:cs="Times New Roman"/>
          <w:sz w:val="22"/>
          <w:szCs w:val="22"/>
        </w:rPr>
        <w:t>1.</w:t>
      </w:r>
      <w:r w:rsidR="00C3605D" w:rsidRPr="00094508">
        <w:rPr>
          <w:rFonts w:ascii="Times New Roman" w:hAnsi="Times New Roman" w:cs="Times New Roman"/>
          <w:sz w:val="22"/>
          <w:szCs w:val="22"/>
        </w:rPr>
        <w:t xml:space="preserve"> Albanese argued that if the government prevented coal exports from Australia, the demand would be met from elsewhere</w:t>
      </w:r>
      <w:r w:rsidR="0010630F" w:rsidRPr="00094508">
        <w:rPr>
          <w:rFonts w:ascii="Times New Roman" w:hAnsi="Times New Roman" w:cs="Times New Roman"/>
          <w:sz w:val="22"/>
          <w:szCs w:val="22"/>
        </w:rPr>
        <w:t>: the argument put by the Morrison (Liberal</w:t>
      </w:r>
      <w:r w:rsidR="006D7CC3">
        <w:rPr>
          <w:rFonts w:ascii="Times New Roman" w:hAnsi="Times New Roman" w:cs="Times New Roman"/>
          <w:sz w:val="22"/>
          <w:szCs w:val="22"/>
        </w:rPr>
        <w:t>–</w:t>
      </w:r>
      <w:r w:rsidR="0010630F" w:rsidRPr="00094508">
        <w:rPr>
          <w:rFonts w:ascii="Times New Roman" w:hAnsi="Times New Roman" w:cs="Times New Roman"/>
          <w:sz w:val="22"/>
          <w:szCs w:val="22"/>
        </w:rPr>
        <w:t>National Coalition) government and the coal industry before the election.</w:t>
      </w:r>
      <w:r w:rsidR="00D92675" w:rsidRPr="00094508">
        <w:rPr>
          <w:rFonts w:ascii="Times New Roman" w:hAnsi="Times New Roman" w:cs="Times New Roman"/>
          <w:sz w:val="22"/>
          <w:szCs w:val="22"/>
        </w:rPr>
        <w:t xml:space="preserve"> But as I noted in Chapter 14, coal exports from six of the biggest mining companies in Australia resulted in more CO</w:t>
      </w:r>
      <w:r w:rsidR="00D92675" w:rsidRPr="00094508">
        <w:rPr>
          <w:rFonts w:ascii="Times New Roman" w:hAnsi="Times New Roman" w:cs="Times New Roman"/>
          <w:sz w:val="22"/>
          <w:szCs w:val="22"/>
          <w:vertAlign w:val="subscript"/>
        </w:rPr>
        <w:t>2</w:t>
      </w:r>
      <w:r w:rsidR="00D92675" w:rsidRPr="00094508">
        <w:rPr>
          <w:rFonts w:ascii="Times New Roman" w:hAnsi="Times New Roman" w:cs="Times New Roman"/>
          <w:sz w:val="22"/>
          <w:szCs w:val="22"/>
        </w:rPr>
        <w:t xml:space="preserve"> emissions than the whole of Australia’s domestic economy.</w:t>
      </w:r>
    </w:p>
  </w:footnote>
  <w:footnote w:id="20">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t xml:space="preserve">S. </w:t>
      </w:r>
      <w:r w:rsidRPr="00094508">
        <w:rPr>
          <w:rFonts w:ascii="Times New Roman" w:hAnsi="Times New Roman" w:cs="Times New Roman"/>
          <w:sz w:val="22"/>
          <w:szCs w:val="22"/>
        </w:rPr>
        <w:t>Purvinas (2019)</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‘Hard to believe anyone’s worth $24 million a year’, </w:t>
      </w:r>
      <w:r w:rsidRPr="00094508">
        <w:rPr>
          <w:rFonts w:ascii="Times New Roman" w:hAnsi="Times New Roman" w:cs="Times New Roman"/>
          <w:i/>
          <w:sz w:val="22"/>
          <w:szCs w:val="22"/>
        </w:rPr>
        <w:t>The Age</w:t>
      </w:r>
      <w:r w:rsidR="006D7CC3" w:rsidRPr="00094508">
        <w:rPr>
          <w:rFonts w:ascii="Times New Roman" w:hAnsi="Times New Roman" w:cs="Times New Roman"/>
          <w:sz w:val="22"/>
          <w:szCs w:val="22"/>
        </w:rPr>
        <w:t>,</w:t>
      </w:r>
      <w:r w:rsidRPr="00094508">
        <w:rPr>
          <w:rFonts w:ascii="Times New Roman" w:hAnsi="Times New Roman" w:cs="Times New Roman"/>
          <w:sz w:val="22"/>
          <w:szCs w:val="22"/>
        </w:rPr>
        <w:t xml:space="preserve"> 21</w:t>
      </w:r>
      <w:r w:rsidR="006D7CC3">
        <w:rPr>
          <w:rFonts w:ascii="Times New Roman" w:hAnsi="Times New Roman" w:cs="Times New Roman"/>
          <w:sz w:val="22"/>
          <w:szCs w:val="22"/>
        </w:rPr>
        <w:t xml:space="preserve"> October</w:t>
      </w:r>
      <w:r w:rsidRPr="00094508">
        <w:rPr>
          <w:rFonts w:ascii="Times New Roman" w:hAnsi="Times New Roman" w:cs="Times New Roman"/>
          <w:sz w:val="22"/>
          <w:szCs w:val="22"/>
        </w:rPr>
        <w:t>: 24.</w:t>
      </w:r>
    </w:p>
  </w:footnote>
  <w:footnote w:id="21">
    <w:p w:rsidR="002620AC" w:rsidRPr="00094508" w:rsidRDefault="002620AC" w:rsidP="00094508">
      <w:pPr>
        <w:pStyle w:val="FootnoteText"/>
        <w:spacing w:line="360" w:lineRule="auto"/>
        <w:rPr>
          <w:rFonts w:ascii="Times New Roman" w:hAnsi="Times New Roman" w:cs="Times New Roman"/>
          <w:sz w:val="22"/>
          <w:szCs w:val="22"/>
        </w:rPr>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r>
      <w:r w:rsidRPr="00094508">
        <w:rPr>
          <w:rFonts w:ascii="Times New Roman" w:hAnsi="Times New Roman" w:cs="Times New Roman"/>
          <w:sz w:val="22"/>
          <w:szCs w:val="22"/>
        </w:rPr>
        <w:t>https://investor.qantas.com/FormBuilder/_Resource/_module/doLLG5ufYkCyEPjF1tpgyw/file/annual-reports/2019-Annual-Report-ASX.pdf (accessed 29/10/19).</w:t>
      </w:r>
    </w:p>
  </w:footnote>
  <w:footnote w:id="22">
    <w:p w:rsidR="002620AC" w:rsidRDefault="002620AC" w:rsidP="00094508">
      <w:pPr>
        <w:pStyle w:val="FootnoteText"/>
        <w:spacing w:line="360" w:lineRule="auto"/>
      </w:pPr>
      <w:r w:rsidRPr="00094508">
        <w:rPr>
          <w:rStyle w:val="FootnoteReference"/>
          <w:rFonts w:ascii="Times New Roman" w:hAnsi="Times New Roman" w:cs="Times New Roman"/>
          <w:sz w:val="22"/>
          <w:szCs w:val="22"/>
        </w:rPr>
        <w:footnoteRef/>
      </w:r>
      <w:r w:rsidR="006D7CC3">
        <w:rPr>
          <w:rFonts w:ascii="Times New Roman" w:hAnsi="Times New Roman" w:cs="Times New Roman"/>
          <w:sz w:val="22"/>
          <w:szCs w:val="22"/>
        </w:rPr>
        <w:t>.</w:t>
      </w:r>
      <w:r w:rsidR="006D7CC3">
        <w:rPr>
          <w:rFonts w:ascii="Times New Roman" w:hAnsi="Times New Roman" w:cs="Times New Roman"/>
          <w:sz w:val="22"/>
          <w:szCs w:val="22"/>
        </w:rPr>
        <w:tab/>
        <w:t xml:space="preserve">C. </w:t>
      </w:r>
      <w:r w:rsidRPr="00094508">
        <w:rPr>
          <w:rFonts w:ascii="Times New Roman" w:hAnsi="Times New Roman" w:cs="Times New Roman"/>
          <w:sz w:val="22"/>
          <w:szCs w:val="22"/>
        </w:rPr>
        <w:t>Sunstein (2014)</w:t>
      </w:r>
      <w:r w:rsidR="006D7CC3">
        <w:rPr>
          <w:rFonts w:ascii="Times New Roman" w:hAnsi="Times New Roman" w:cs="Times New Roman"/>
          <w:sz w:val="22"/>
          <w:szCs w:val="22"/>
        </w:rPr>
        <w:t>,</w:t>
      </w:r>
      <w:r w:rsidRPr="00094508">
        <w:rPr>
          <w:rFonts w:ascii="Times New Roman" w:hAnsi="Times New Roman" w:cs="Times New Roman"/>
          <w:sz w:val="22"/>
          <w:szCs w:val="22"/>
        </w:rPr>
        <w:t xml:space="preserve"> ‘What’s so wrong with economic inequality?’ </w:t>
      </w:r>
      <w:r w:rsidRPr="00094508">
        <w:rPr>
          <w:rFonts w:ascii="Times New Roman" w:hAnsi="Times New Roman" w:cs="Times New Roman"/>
          <w:i/>
          <w:sz w:val="22"/>
          <w:szCs w:val="22"/>
        </w:rPr>
        <w:t>The Age</w:t>
      </w:r>
      <w:r w:rsidRPr="00094508">
        <w:rPr>
          <w:rFonts w:ascii="Times New Roman" w:hAnsi="Times New Roman" w:cs="Times New Roman"/>
          <w:sz w:val="22"/>
          <w:szCs w:val="22"/>
        </w:rPr>
        <w:t>, 15</w:t>
      </w:r>
      <w:r w:rsidR="006D7CC3">
        <w:rPr>
          <w:rFonts w:ascii="Times New Roman" w:hAnsi="Times New Roman" w:cs="Times New Roman"/>
          <w:sz w:val="22"/>
          <w:szCs w:val="22"/>
        </w:rPr>
        <w:t xml:space="preserve"> May</w:t>
      </w:r>
      <w:r w:rsidRPr="00094508">
        <w:rPr>
          <w:rFonts w:ascii="Times New Roman" w:hAnsi="Times New Roman" w:cs="Times New Roman"/>
          <w:sz w:val="22"/>
          <w:szCs w:val="22"/>
        </w:rPr>
        <w:t>: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41C"/>
    <w:rsid w:val="000150E8"/>
    <w:rsid w:val="0008041C"/>
    <w:rsid w:val="0008299B"/>
    <w:rsid w:val="00094508"/>
    <w:rsid w:val="000E43BB"/>
    <w:rsid w:val="0010630F"/>
    <w:rsid w:val="00124CE3"/>
    <w:rsid w:val="00164DDA"/>
    <w:rsid w:val="001908D6"/>
    <w:rsid w:val="001B64F5"/>
    <w:rsid w:val="001C67ED"/>
    <w:rsid w:val="001E2A81"/>
    <w:rsid w:val="00224F5B"/>
    <w:rsid w:val="002620AC"/>
    <w:rsid w:val="0030123D"/>
    <w:rsid w:val="00366038"/>
    <w:rsid w:val="00370EC8"/>
    <w:rsid w:val="003D1D80"/>
    <w:rsid w:val="003D6034"/>
    <w:rsid w:val="003E4F53"/>
    <w:rsid w:val="003F7A50"/>
    <w:rsid w:val="00412435"/>
    <w:rsid w:val="00430BAA"/>
    <w:rsid w:val="004A3430"/>
    <w:rsid w:val="004A70D8"/>
    <w:rsid w:val="004F5697"/>
    <w:rsid w:val="005250A5"/>
    <w:rsid w:val="00602A43"/>
    <w:rsid w:val="006073CD"/>
    <w:rsid w:val="00656984"/>
    <w:rsid w:val="00665FFA"/>
    <w:rsid w:val="00666B12"/>
    <w:rsid w:val="006D7CC3"/>
    <w:rsid w:val="006F1CC5"/>
    <w:rsid w:val="007553A4"/>
    <w:rsid w:val="007949B3"/>
    <w:rsid w:val="007A4972"/>
    <w:rsid w:val="007A5065"/>
    <w:rsid w:val="007E77AD"/>
    <w:rsid w:val="008842CF"/>
    <w:rsid w:val="008A4DCD"/>
    <w:rsid w:val="008B7615"/>
    <w:rsid w:val="00921C78"/>
    <w:rsid w:val="009805CE"/>
    <w:rsid w:val="009C28E9"/>
    <w:rsid w:val="00A052E6"/>
    <w:rsid w:val="00A06F38"/>
    <w:rsid w:val="00A10886"/>
    <w:rsid w:val="00A2690D"/>
    <w:rsid w:val="00A66858"/>
    <w:rsid w:val="00B121D1"/>
    <w:rsid w:val="00BE2877"/>
    <w:rsid w:val="00C02F9B"/>
    <w:rsid w:val="00C337EF"/>
    <w:rsid w:val="00C3605D"/>
    <w:rsid w:val="00C662DC"/>
    <w:rsid w:val="00C94FCF"/>
    <w:rsid w:val="00D02CA0"/>
    <w:rsid w:val="00D92675"/>
    <w:rsid w:val="00DA257D"/>
    <w:rsid w:val="00DA786B"/>
    <w:rsid w:val="00E3398D"/>
    <w:rsid w:val="00EB4416"/>
    <w:rsid w:val="00ED0CD2"/>
    <w:rsid w:val="00F235A8"/>
    <w:rsid w:val="00F24A4C"/>
    <w:rsid w:val="00F27C6F"/>
    <w:rsid w:val="00F92130"/>
    <w:rsid w:val="00FF24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B8DA5-0C53-DC48-9427-5DF94E17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1C"/>
  </w:style>
  <w:style w:type="paragraph" w:styleId="Heading3">
    <w:name w:val="heading 3"/>
    <w:basedOn w:val="Normal"/>
    <w:next w:val="Normal"/>
    <w:link w:val="Heading3Char"/>
    <w:uiPriority w:val="9"/>
    <w:unhideWhenUsed/>
    <w:qFormat/>
    <w:rsid w:val="0008041C"/>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041C"/>
    <w:rPr>
      <w:rFonts w:asciiTheme="majorHAnsi" w:eastAsiaTheme="majorEastAsia" w:hAnsiTheme="majorHAnsi" w:cstheme="majorBidi"/>
      <w:i/>
      <w:szCs w:val="24"/>
    </w:rPr>
  </w:style>
  <w:style w:type="paragraph" w:styleId="FootnoteText">
    <w:name w:val="footnote text"/>
    <w:basedOn w:val="Normal"/>
    <w:link w:val="FootnoteTextChar"/>
    <w:uiPriority w:val="99"/>
    <w:semiHidden/>
    <w:unhideWhenUsed/>
    <w:rsid w:val="000804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41C"/>
    <w:rPr>
      <w:sz w:val="20"/>
      <w:szCs w:val="20"/>
    </w:rPr>
  </w:style>
  <w:style w:type="character" w:styleId="FootnoteReference">
    <w:name w:val="footnote reference"/>
    <w:basedOn w:val="DefaultParagraphFont"/>
    <w:uiPriority w:val="99"/>
    <w:semiHidden/>
    <w:unhideWhenUsed/>
    <w:rsid w:val="0008041C"/>
    <w:rPr>
      <w:vertAlign w:val="superscript"/>
    </w:rPr>
  </w:style>
  <w:style w:type="character" w:styleId="Hyperlink">
    <w:name w:val="Hyperlink"/>
    <w:basedOn w:val="DefaultParagraphFont"/>
    <w:uiPriority w:val="99"/>
    <w:unhideWhenUsed/>
    <w:rsid w:val="0008041C"/>
    <w:rPr>
      <w:color w:val="0563C1" w:themeColor="hyperlink"/>
      <w:u w:val="single"/>
    </w:rPr>
  </w:style>
  <w:style w:type="paragraph" w:styleId="NoSpacing">
    <w:name w:val="No Spacing"/>
    <w:uiPriority w:val="1"/>
    <w:qFormat/>
    <w:rsid w:val="0008041C"/>
    <w:pPr>
      <w:spacing w:after="0" w:line="240" w:lineRule="auto"/>
    </w:pPr>
  </w:style>
  <w:style w:type="paragraph" w:styleId="BalloonText">
    <w:name w:val="Balloon Text"/>
    <w:basedOn w:val="Normal"/>
    <w:link w:val="BalloonTextChar"/>
    <w:uiPriority w:val="99"/>
    <w:semiHidden/>
    <w:unhideWhenUsed/>
    <w:rsid w:val="003D6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034"/>
    <w:rPr>
      <w:rFonts w:ascii="Segoe UI" w:hAnsi="Segoe UI" w:cs="Segoe UI"/>
      <w:sz w:val="18"/>
      <w:szCs w:val="18"/>
    </w:rPr>
  </w:style>
  <w:style w:type="paragraph" w:styleId="Revision">
    <w:name w:val="Revision"/>
    <w:hidden/>
    <w:uiPriority w:val="99"/>
    <w:semiHidden/>
    <w:rsid w:val="00884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7B6F-D211-4FB6-AFB6-ADDDA06B8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Low</dc:creator>
  <cp:lastModifiedBy>Catherine Cumming</cp:lastModifiedBy>
  <cp:revision>9</cp:revision>
  <cp:lastPrinted>2019-10-29T01:53:00Z</cp:lastPrinted>
  <dcterms:created xsi:type="dcterms:W3CDTF">2020-04-04T12:40:00Z</dcterms:created>
  <dcterms:modified xsi:type="dcterms:W3CDTF">2020-04-17T11:41:00Z</dcterms:modified>
</cp:coreProperties>
</file>