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121E" w14:textId="77777777" w:rsidR="00FD26E3" w:rsidRPr="00A6628E" w:rsidRDefault="004F1717" w:rsidP="00FD26E3">
      <w:pPr>
        <w:pStyle w:val="Table"/>
      </w:pPr>
      <w:bookmarkStart w:id="0" w:name="_Toc361140332"/>
      <w:bookmarkStart w:id="1" w:name="_GoBack"/>
      <w:bookmarkEnd w:id="1"/>
      <w:r>
        <w:t>A</w:t>
      </w:r>
      <w:r w:rsidR="00843721">
        <w:t>ppendix</w:t>
      </w:r>
      <w:r w:rsidR="009E4A84">
        <w:t xml:space="preserve"> 3.1</w:t>
      </w:r>
      <w:r w:rsidR="00FD26E3" w:rsidRPr="00A6628E">
        <w:t xml:space="preserve">: </w:t>
      </w:r>
      <w:r w:rsidR="00FD26E3">
        <w:t>Full table on AML/CTF reporting systems in the EU</w:t>
      </w:r>
      <w:bookmarkEnd w:id="0"/>
      <w:r w:rsidR="00323800">
        <w:rPr>
          <w:rStyle w:val="FootnoteReference"/>
        </w:rPr>
        <w:footnoteReference w:id="1"/>
      </w:r>
    </w:p>
    <w:p w14:paraId="5644FD1D" w14:textId="77777777" w:rsidR="00FD26E3" w:rsidRPr="00D3364D" w:rsidRDefault="00FD26E3" w:rsidP="00FD26E3">
      <w:pPr>
        <w:rPr>
          <w:rFonts w:ascii="Calibri" w:hAnsi="Calibri"/>
          <w:sz w:val="22"/>
          <w:szCs w:val="22"/>
          <w:highlight w:val="gree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936"/>
        <w:gridCol w:w="1415"/>
        <w:gridCol w:w="1844"/>
        <w:gridCol w:w="2123"/>
        <w:gridCol w:w="1559"/>
        <w:gridCol w:w="995"/>
        <w:gridCol w:w="852"/>
        <w:gridCol w:w="1559"/>
        <w:gridCol w:w="2120"/>
      </w:tblGrid>
      <w:tr w:rsidR="001956AD" w:rsidRPr="0022198A" w14:paraId="39CD0928" w14:textId="77777777" w:rsidTr="001956AD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FAF27D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D972E14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Type of report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BCF9519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Substantive threshold for reporting: level of knowledge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4597C636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Time of reporting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A9BCF32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Objective 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reshold for reporting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668993D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Definition of a transaction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25CB9E77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Attempted transactions to be reported?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0F8B04E3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>Data collection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  <w:hideMark/>
          </w:tcPr>
          <w:p w14:paraId="63474125" w14:textId="77777777" w:rsidR="00FD26E3" w:rsidRPr="0022198A" w:rsidRDefault="00FD26E3" w:rsidP="00A956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Additional information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9B09A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5257D34" w14:textId="77777777" w:rsidTr="001956AD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08B2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3AE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95A5" w14:textId="02ADE0DB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 (insurance brokers only), suspicion or reasonable grounds to suspect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8E7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Immediately or promptly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2A506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BC7C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EBE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83E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712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A1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5B573C6" w14:textId="77777777" w:rsidTr="001956AD">
        <w:trPr>
          <w:trHeight w:val="4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1AD8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AT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9A1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C)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>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864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3FA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Immediately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41(1a) Banking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85B17" w14:textId="5684ED12" w:rsidR="00FD26E3" w:rsidRPr="0022198A" w:rsidRDefault="00FD26E3" w:rsidP="000313E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Only for credit institutions: 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 xml:space="preserve">* the requests are submitted after 30 June 2002; 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>* the customer’s identity has not yet been ascertained for the savings deposit (i.e.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 xml:space="preserve">savings accounts opened before 2002); 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>*</w:t>
            </w:r>
            <w:r w:rsidR="000313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the payment is from a savings account which shows a balance of at least 1</w:t>
            </w:r>
            <w:r w:rsidR="000313EE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41(1a) Banking Act)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3E6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No definition in AML legislation 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9080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Yes, but different expressions used in the different Acts</w:t>
            </w:r>
          </w:p>
          <w:p w14:paraId="34B23B1E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92C5B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D2D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(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C)TR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contains one transaction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E3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4F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0876005" w14:textId="77777777" w:rsidTr="001956AD">
        <w:trPr>
          <w:trHeight w:val="153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7049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BE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76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3498" w14:textId="4487AE5F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 or suspicion, reasonable grounds to suspect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8D74" w14:textId="24393C65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transaction takes place, or immediately thereafter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53A3" w14:textId="36A14E2B" w:rsidR="00FD26E3" w:rsidRPr="0022198A" w:rsidRDefault="00FD26E3" w:rsidP="000313E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Only for casinos: </w:t>
            </w:r>
            <w:r w:rsidR="000313EE">
              <w:rPr>
                <w:rFonts w:ascii="Calibri" w:hAnsi="Calibri" w:cs="Calibri"/>
                <w:sz w:val="18"/>
                <w:szCs w:val="18"/>
              </w:rPr>
              <w:t>p</w:t>
            </w:r>
            <w:r w:rsidR="000313EE" w:rsidRPr="0022198A">
              <w:rPr>
                <w:rFonts w:ascii="Calibri" w:hAnsi="Calibri" w:cs="Calibri"/>
                <w:sz w:val="18"/>
                <w:szCs w:val="18"/>
              </w:rPr>
              <w:t xml:space="preserve">urchase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of chips amount to 10</w:t>
            </w:r>
            <w:r w:rsidR="000313EE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or more; or 2</w:t>
            </w:r>
            <w:r w:rsidR="000313EE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500 EUR (when foreign currency)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D6C6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A39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324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6D6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8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7BCED4B" w14:textId="77777777" w:rsidTr="001956AD">
        <w:trPr>
          <w:trHeight w:val="10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A438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7AA5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DEB8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11(1)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38F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transaction takes places, or immediately thereafter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11(1) and 11(2)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62A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3FC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3044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6CA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A82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7D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1B84EEC3" w14:textId="77777777" w:rsidTr="001956AD">
        <w:trPr>
          <w:trHeight w:val="128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13D7" w14:textId="77777777" w:rsidR="00FD26E3" w:rsidRPr="0022198A" w:rsidRDefault="00FD26E3" w:rsidP="001956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BG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DDE6D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9B5E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3F96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 a monthly basis not later than the 15th day of the month following the month of the information supplied (Article 16 RILMML)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578D" w14:textId="7C901140" w:rsidR="00FD26E3" w:rsidRPr="0022198A" w:rsidRDefault="00FD26E3" w:rsidP="00B15986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30</w:t>
            </w:r>
            <w:r w:rsidR="00B15986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BGN (approx. 15</w:t>
            </w:r>
            <w:r w:rsidR="00B15986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EUR) (cash transactions)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11a(1) AML Act)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E9204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E47C77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D957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contains one individual transaction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BF0B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B3B4" w14:textId="77777777" w:rsidR="00FD26E3" w:rsidRPr="0022198A" w:rsidRDefault="00FD26E3" w:rsidP="001956AD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36769062" w14:textId="77777777" w:rsidTr="001956AD">
        <w:trPr>
          <w:trHeight w:val="25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77AB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CY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3CA3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SAR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6E4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Knowledge and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suspicion(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"proves this fact or creates such a suspicion" -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69 AML Act)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B8F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transaction takes place, or immediately thereafter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70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EDF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F25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5E2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69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04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SAR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857E" w14:textId="2428562B" w:rsidR="00FD26E3" w:rsidRPr="0022198A" w:rsidRDefault="00FD26E3" w:rsidP="00B15986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* The information should come to the attention in the course of that person’s trade, profession, business or employment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 xml:space="preserve">* Two reporting bases with different legal regimes: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27 and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69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FC9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44E0980" w14:textId="77777777" w:rsidTr="001956AD">
        <w:trPr>
          <w:trHeight w:val="23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DD88A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CZ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174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BD0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6 and 18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C01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Without undue delay, but no later than 5 days after the transaction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18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64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BC3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Any interaction of the obliged entity with another person should such interaction lead to handling of the other person</w:t>
            </w:r>
            <w:r>
              <w:rPr>
                <w:rFonts w:ascii="Calibri" w:hAnsi="Calibri" w:cs="Calibri"/>
                <w:sz w:val="18"/>
                <w:szCs w:val="18"/>
              </w:rPr>
              <w:t>’s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property or providin</w:t>
            </w:r>
            <w:r>
              <w:rPr>
                <w:rFonts w:ascii="Calibri" w:hAnsi="Calibri" w:cs="Calibri"/>
                <w:sz w:val="18"/>
                <w:szCs w:val="18"/>
              </w:rPr>
              <w:t>g services to such other person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A10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B74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E78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Legislation lists transactions that are in any case considered to be suspicious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6 AML Act)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43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780C23D" w14:textId="77777777" w:rsidTr="001956AD">
        <w:trPr>
          <w:trHeight w:val="12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6D2E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DK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C7D5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4CC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 (but only reporting in case of suspicion of a criminal offence punishable by 1 year or more)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BC5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Immediately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7(1)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699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95B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28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Yes, indirectly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562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BF1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8F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407BD62B" w14:textId="77777777" w:rsidTr="001956AD">
        <w:trPr>
          <w:trHeight w:val="960"/>
        </w:trPr>
        <w:tc>
          <w:tcPr>
            <w:tcW w:w="2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6C2A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3E1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6A2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32 AML Act)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139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Immediately, but no later than two working days after the transaction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32 (1) AML Act)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15A6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C1C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27D8" w14:textId="3A7E8617" w:rsidR="00FD26E3" w:rsidRPr="0022198A" w:rsidRDefault="00FD26E3" w:rsidP="00AE3BE7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32(2) in conjunction with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27(6)(1</w:t>
            </w:r>
            <w:r w:rsidR="00AE3BE7">
              <w:rPr>
                <w:rFonts w:ascii="Calibri" w:hAnsi="Calibri" w:cs="Calibri"/>
                <w:sz w:val="18"/>
                <w:szCs w:val="18"/>
              </w:rPr>
              <w:t>–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2) AML Act)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4B8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85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9A2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F673BD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obligation to</w:t>
            </w:r>
          </w:p>
          <w:p w14:paraId="13C2E51E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disclose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CTR does </w:t>
            </w:r>
          </w:p>
          <w:p w14:paraId="36DC6001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not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apply to credit</w:t>
            </w:r>
          </w:p>
          <w:p w14:paraId="3F5BD15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institutions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except</w:t>
            </w:r>
            <w:r w:rsidR="00AE3BE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956AD" w:rsidRPr="0022198A" w14:paraId="30C43DF8" w14:textId="77777777" w:rsidTr="001956AD">
        <w:trPr>
          <w:trHeight w:val="2698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359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EE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347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B21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F5A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time frame indicated in AML Act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32(3)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ED8EBE" w14:textId="22EAEB5C" w:rsidR="00FD26E3" w:rsidRPr="0022198A" w:rsidRDefault="00AE3BE7" w:rsidP="00AE3BE7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FD26E3" w:rsidRPr="0022198A">
              <w:rPr>
                <w:rFonts w:ascii="Calibri" w:hAnsi="Calibri" w:cs="Calibri"/>
                <w:sz w:val="18"/>
                <w:szCs w:val="18"/>
              </w:rPr>
              <w:t xml:space="preserve">000 EUR (cash transactions) 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9DEE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38E92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  <w:p w14:paraId="4C5587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4CC4F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42C720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20130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87814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77A3C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D24C4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C6055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C856A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B1931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E9A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18D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contains one transaction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DFA5" w14:textId="2953FB72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CTR is not mentioned as a different type of report in Estonian AML/CTF legislation. In its annual reports, the Estonian FIU makes a distinction between STRs and CTRs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8EFD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the case of</w:t>
            </w:r>
          </w:p>
          <w:p w14:paraId="5AA755C7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currency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exchange</w:t>
            </w:r>
          </w:p>
          <w:p w14:paraId="6092934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transactions</w:t>
            </w:r>
            <w:proofErr w:type="gramEnd"/>
          </w:p>
          <w:p w14:paraId="7228D86A" w14:textId="15E201C9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exceeding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the amount stipulated with persons with whom the institution does not have a business relationship</w:t>
            </w:r>
          </w:p>
          <w:p w14:paraId="2403619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56AD" w:rsidRPr="0022198A" w14:paraId="2408745E" w14:textId="77777777" w:rsidTr="001956AD">
        <w:trPr>
          <w:trHeight w:val="151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1195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FI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16DB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SAR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4D83" w14:textId="1BAE1C76" w:rsidR="00FD26E3" w:rsidRPr="0022198A" w:rsidRDefault="00FD26E3" w:rsidP="00AE3BE7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Suspicion. For pawnshops: </w:t>
            </w:r>
            <w:r w:rsidR="00AE3BE7">
              <w:rPr>
                <w:rFonts w:ascii="Calibri" w:hAnsi="Calibri" w:cs="Calibri"/>
                <w:sz w:val="18"/>
                <w:szCs w:val="18"/>
              </w:rPr>
              <w:t>‘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if a transaction involves a pledge of a significant financial value</w:t>
            </w:r>
            <w:r w:rsidR="00AE3BE7">
              <w:rPr>
                <w:rFonts w:ascii="Calibri" w:hAnsi="Calibri" w:cs="Calibri"/>
                <w:sz w:val="18"/>
                <w:szCs w:val="18"/>
              </w:rPr>
              <w:t>’</w:t>
            </w:r>
            <w:r w:rsidR="00AE3BE7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23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2C5A2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Immediately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23 AML Act)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7F0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Customers related to a State whose AML/CTF system does not meet the international obligations in specific circumstances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24 AML Act)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FD9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7A9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Yes, indirectly.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 Government Decree 616/2008)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53F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SAR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CAA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0D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3BAE044" w14:textId="77777777" w:rsidTr="001956AD">
        <w:trPr>
          <w:trHeight w:val="12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453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DD9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 (suspicion reporting)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947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L.561-15 Monetary and Financial Code)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300AD0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Prior to the transaction, otherwise without delay (L. 561-15, VI MFC)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B010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F2F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30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FA2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F2F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CC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31EB1A09" w14:textId="77777777" w:rsidTr="001956AD">
        <w:trPr>
          <w:trHeight w:val="24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6D3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FR</w:t>
            </w: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FBE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 (</w:t>
            </w: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syste</w:t>
            </w:r>
            <w:proofErr w:type="spellEnd"/>
            <w:r w:rsidR="001956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matic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reporting)</w:t>
            </w: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082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8E3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As soon as one of the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statutory  criteria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is established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AA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* The identity of the customer or the beneficial owner </w:t>
            </w:r>
            <w:r>
              <w:rPr>
                <w:rFonts w:ascii="Calibri" w:hAnsi="Calibri" w:cs="Calibri"/>
                <w:sz w:val="18"/>
                <w:szCs w:val="18"/>
              </w:rPr>
              <w:t>(…)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remains 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oubtful</w:t>
            </w:r>
            <w:r w:rsidR="00AE3B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(L.561-15, IV MFC)</w:t>
            </w:r>
          </w:p>
          <w:p w14:paraId="077ED02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* Customers from (…) jurisdictions where inadequate legislation </w:t>
            </w:r>
            <w:r>
              <w:rPr>
                <w:rFonts w:ascii="Calibri" w:hAnsi="Calibri" w:cs="Calibri"/>
                <w:sz w:val="18"/>
                <w:szCs w:val="18"/>
              </w:rPr>
              <w:t>(…)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hinder</w:t>
            </w:r>
            <w:r w:rsidR="00AE3BE7">
              <w:rPr>
                <w:rFonts w:ascii="Calibri" w:hAnsi="Calibri" w:cs="Calibri"/>
                <w:sz w:val="18"/>
                <w:szCs w:val="18"/>
              </w:rPr>
              <w:t>s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the fight against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ML and TF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(L. 561-15, VI MFC)</w:t>
            </w:r>
          </w:p>
          <w:p w14:paraId="270380E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* After a strengthened review where operations </w:t>
            </w:r>
            <w:r w:rsidR="00AE3BE7">
              <w:rPr>
                <w:rFonts w:ascii="Calibri" w:hAnsi="Calibri" w:cs="Calibri"/>
                <w:sz w:val="18"/>
                <w:szCs w:val="18"/>
              </w:rPr>
              <w:t xml:space="preserve">are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particularly complex or unusually large or appear to have no economic justification or lawful purpose (L. 561-15, III MFC); </w:t>
            </w:r>
          </w:p>
          <w:p w14:paraId="4C7585A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 I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nformation to rebut, reinforce or modify the information contained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 the declaration of suspicion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transmitted (L. 561-15, V MFC)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EA3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legislation</w:t>
            </w:r>
          </w:p>
          <w:p w14:paraId="3946BB1C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85026D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BB06F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06CC67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DC7EBC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F6BAAF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646A8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574AD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DE9C8B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28438F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B48E3A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C139A3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CCF1A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5EE8B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4B1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8BB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C7E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1D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77FCD548" w14:textId="77777777" w:rsidTr="001956AD">
        <w:trPr>
          <w:trHeight w:val="13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9873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 xml:space="preserve">DE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2AB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F457" w14:textId="21FB788C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Knowledge 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>(</w:t>
            </w:r>
            <w:r w:rsidR="00A95631">
              <w:rPr>
                <w:rFonts w:ascii="Calibri" w:hAnsi="Calibri" w:cs="Calibri"/>
                <w:sz w:val="18"/>
                <w:szCs w:val="18"/>
              </w:rPr>
              <w:t>‘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having established facts which permit the conclusion</w:t>
            </w:r>
            <w:r w:rsidR="00A95631">
              <w:rPr>
                <w:rFonts w:ascii="Calibri" w:hAnsi="Calibri" w:cs="Calibri"/>
                <w:sz w:val="18"/>
                <w:szCs w:val="18"/>
              </w:rPr>
              <w:t>’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62E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Immediately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11(1)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313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34B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Any act aimed at or resulting in a transfer of money or a similar movement of assets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0DE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11(1)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34B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873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70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5CA15E59" w14:textId="77777777" w:rsidTr="001956AD">
        <w:trPr>
          <w:trHeight w:val="190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5C8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5F6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437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suspicion, reasonable grounds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1923E5" w14:textId="474C62BC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Promptly. </w:t>
            </w: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owever in case of high-risk transactions, the FIU must be notified before the performance of the transactions or simultaneously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(Art.26/27 AML Act)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BEB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3B7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1AA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26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61C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0C9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BA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AFB4CB4" w14:textId="77777777" w:rsidTr="001956AD">
        <w:trPr>
          <w:trHeight w:val="195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5486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HU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6A8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297D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Suspicion, reasonable grounds to suspect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660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Without delay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23(2)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0DA8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3B4BC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Act; but in practice every fact or circumstance that may give rise to a suspicion of money laundering or terrorist financing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AF2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F6B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568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15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2E42FA9" w14:textId="77777777" w:rsidTr="001956AD">
        <w:trPr>
          <w:trHeight w:val="254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6BC9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C20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6A3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Knowledge, suspicion, reasonable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grounds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42(1)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166C" w14:textId="53B47648" w:rsidR="00FD26E3" w:rsidRPr="0022198A" w:rsidRDefault="00A95631" w:rsidP="00A956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‘</w:t>
            </w:r>
            <w:r w:rsidR="00FD26E3" w:rsidRPr="0022198A">
              <w:rPr>
                <w:rFonts w:ascii="Calibri" w:hAnsi="Calibri" w:cs="Calibri"/>
                <w:sz w:val="18"/>
                <w:szCs w:val="18"/>
              </w:rPr>
              <w:t>As soon as practicable after acquiring that knowledge or forming that suspicion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’ </w:t>
            </w:r>
            <w:r w:rsidR="00FD26E3">
              <w:rPr>
                <w:rFonts w:ascii="Calibri" w:hAnsi="Calibri" w:cs="Calibri"/>
                <w:sz w:val="18"/>
                <w:szCs w:val="18"/>
              </w:rPr>
              <w:t>(Article 42(2</w:t>
            </w:r>
            <w:r w:rsidR="00FD26E3" w:rsidRPr="00DA14EE">
              <w:rPr>
                <w:rFonts w:ascii="Calibri" w:hAnsi="Calibri" w:cs="Calibri"/>
                <w:sz w:val="18"/>
                <w:szCs w:val="18"/>
              </w:rPr>
              <w:t>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27E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3D02" w14:textId="7190936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No general definition. There are specific definitions of transactions for professional and legal service providers, casinos and private 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>members</w:t>
            </w:r>
            <w:r w:rsidR="00A95631">
              <w:rPr>
                <w:rFonts w:ascii="Calibri" w:hAnsi="Calibri" w:cs="Calibri"/>
                <w:sz w:val="18"/>
                <w:szCs w:val="18"/>
              </w:rPr>
              <w:t>’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clubs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24 AML Act)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2DC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7(2) AML Act in conjunction with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42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D9A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One STR may contain several transactions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860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5F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148D570E" w14:textId="77777777" w:rsidTr="001956AD">
        <w:trPr>
          <w:trHeight w:val="112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B71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IT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17C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CEF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Knowledge, suspicion, reasonable grounds to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suspect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41(1) AML Decree)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4FC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Where possible before transaction, otherwise without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delay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DA14EE">
              <w:rPr>
                <w:rFonts w:ascii="Calibri" w:hAnsi="Calibri" w:cs="Calibri"/>
                <w:sz w:val="18"/>
                <w:szCs w:val="18"/>
              </w:rPr>
              <w:t>Article 41(4-5)  AML Decree)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0C1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C28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The transmission or movement of means of payment; for (legal and fiscal service providers), it shall mean a specified or specifiable activity directed towards an objective of a </w:t>
            </w: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>financial or patrimonial nature modifying the existing legal situation, to be carried out by way of a professional service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1(2)(l) AML Decree)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043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41(1) AML Decree)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BB4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One STR may contain several transactions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571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38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00ACD64D" w14:textId="77777777" w:rsidTr="001956AD">
        <w:trPr>
          <w:trHeight w:val="1410"/>
        </w:trPr>
        <w:tc>
          <w:tcPr>
            <w:tcW w:w="2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7BB9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0E3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UTR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718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07F5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77198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1AE32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In principle before the transaction, otherwise without delay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0EE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Depends on each category of obliged entities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DA14EE">
              <w:rPr>
                <w:rFonts w:ascii="Calibri" w:hAnsi="Calibri" w:cs="Calibri"/>
                <w:sz w:val="18"/>
                <w:szCs w:val="18"/>
              </w:rPr>
              <w:t>CoM</w:t>
            </w:r>
            <w:proofErr w:type="spellEnd"/>
            <w:r w:rsidRPr="00DA14EE">
              <w:rPr>
                <w:rFonts w:ascii="Calibri" w:hAnsi="Calibri" w:cs="Calibri"/>
                <w:sz w:val="18"/>
                <w:szCs w:val="18"/>
              </w:rPr>
              <w:t xml:space="preserve"> Regulation No. </w:t>
            </w:r>
            <w:proofErr w:type="gramStart"/>
            <w:r w:rsidRPr="00DA14EE">
              <w:rPr>
                <w:rFonts w:ascii="Calibri" w:hAnsi="Calibri" w:cs="Calibri"/>
                <w:sz w:val="18"/>
                <w:szCs w:val="18"/>
              </w:rPr>
              <w:t>1071 )</w:t>
            </w:r>
            <w:proofErr w:type="gramEnd"/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06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2530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3E2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UTR may contain several individual transactions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863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UTRs are partially CTRs and based on different thresholds (</w:t>
            </w: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CoM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Regulation No. 1071)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F6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0181C5F2" w14:textId="77777777" w:rsidTr="001956AD">
        <w:trPr>
          <w:trHeight w:val="1403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F755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LV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239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2CA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Suspicion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6E0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30 and 32 </w:t>
            </w:r>
          </w:p>
          <w:p w14:paraId="601B0D25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DA14EE">
              <w:rPr>
                <w:rFonts w:ascii="Calibri" w:hAnsi="Calibri" w:cs="Calibri"/>
                <w:sz w:val="18"/>
                <w:szCs w:val="18"/>
              </w:rPr>
              <w:t>AML Act)</w:t>
            </w:r>
          </w:p>
          <w:p w14:paraId="08D42255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35BAD8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4DD181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6AFDF5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9D6D68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7AFA9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059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5B3D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  <w:p w14:paraId="57A1E8BC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6A4943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898ECA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37DA8A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C79D0C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E0C90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BC9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773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958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AA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1A536AB" w14:textId="77777777" w:rsidTr="001956AD">
        <w:trPr>
          <w:trHeight w:val="69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996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33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211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 and Unusual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D5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Transactions must be suspended and a notification must be made to the FIU no later than within 3 working hours, irrespective of the amount involved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9A38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C71B" w14:textId="0F3A55AA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AML Act speaks about </w:t>
            </w:r>
            <w:r w:rsidR="00A95631">
              <w:rPr>
                <w:rFonts w:ascii="Calibri" w:hAnsi="Calibri" w:cs="Calibri"/>
                <w:sz w:val="18"/>
                <w:szCs w:val="18"/>
              </w:rPr>
              <w:t>‘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 xml:space="preserve">monetary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operations and 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>transactions</w:t>
            </w:r>
            <w:r w:rsidR="00A95631">
              <w:rPr>
                <w:rFonts w:ascii="Calibri" w:hAnsi="Calibri" w:cs="Calibri"/>
                <w:sz w:val="18"/>
                <w:szCs w:val="18"/>
              </w:rPr>
              <w:t>’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, but no definition in AML Act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540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E5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697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87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2F6E4610" w14:textId="77777777" w:rsidTr="001956AD">
        <w:trPr>
          <w:trHeight w:val="121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9C3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LT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9E2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491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0A1B0" w14:textId="4BF5154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Immediately and not later than within </w:t>
            </w:r>
            <w:r w:rsidR="00A95631">
              <w:rPr>
                <w:rFonts w:ascii="Calibri" w:hAnsi="Calibri" w:cs="Calibri"/>
                <w:sz w:val="18"/>
                <w:szCs w:val="18"/>
              </w:rPr>
              <w:t>7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working days following its completion</w:t>
            </w:r>
            <w:r w:rsidR="007D7E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17 AML Act)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7CEE7" w14:textId="143E1951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15</w:t>
            </w:r>
            <w:r w:rsidR="00A95631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(cash transactions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586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0AC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90A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contains one transaction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CD2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EA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4532A707" w14:textId="77777777" w:rsidTr="001956AD">
        <w:trPr>
          <w:trHeight w:val="41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A9E8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LU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7C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817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suspicion, or reasonable grounds to suspect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5(1)(a) AML Act)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6DB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Prior to the transaction; otherwise without delay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17 AML Act)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349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4B4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25D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5(1)(a)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2EF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009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77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6AF38B93" w14:textId="77777777" w:rsidTr="001956AD">
        <w:trPr>
          <w:trHeight w:val="15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7FA0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MT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ECE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04B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(Regulation 15(6</w:t>
            </w:r>
            <w:proofErr w:type="gramStart"/>
            <w:r w:rsidRPr="00DA14EE">
              <w:rPr>
                <w:rFonts w:ascii="Calibri" w:hAnsi="Calibri" w:cs="Calibri"/>
                <w:sz w:val="18"/>
                <w:szCs w:val="18"/>
              </w:rPr>
              <w:t>) )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6275" w14:textId="068ED5D6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As soon as is reasonably practicable, but not later than </w:t>
            </w:r>
            <w:r w:rsidR="00A95631">
              <w:rPr>
                <w:rFonts w:ascii="Calibri" w:hAnsi="Calibri" w:cs="Calibri"/>
                <w:sz w:val="18"/>
                <w:szCs w:val="18"/>
              </w:rPr>
              <w:t>5</w:t>
            </w:r>
            <w:r w:rsidR="00A95631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working days from when the suspicion first arose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(Regulation 15(6))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0B4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93E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F636" w14:textId="30AE265E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A956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(Regulation 15(6))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41A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24F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4D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4C009863" w14:textId="77777777" w:rsidTr="001956AD">
        <w:trPr>
          <w:trHeight w:val="238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7453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NL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599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UTR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9E2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Unusual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ED0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Within 14 days of establishing the unusual nature of the transaction</w:t>
            </w:r>
            <w:r w:rsidR="009D46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 16(1)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A6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Depends on each category of obliged entities</w:t>
            </w:r>
            <w:r w:rsidR="009D460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14EE">
              <w:rPr>
                <w:rFonts w:ascii="Calibri" w:hAnsi="Calibri" w:cs="Calibri"/>
                <w:sz w:val="18"/>
                <w:szCs w:val="18"/>
              </w:rPr>
              <w:t xml:space="preserve">(Annex to Implementing Decree </w:t>
            </w:r>
            <w:proofErr w:type="gramStart"/>
            <w:r w:rsidRPr="00DA14EE">
              <w:rPr>
                <w:rFonts w:ascii="Calibri" w:hAnsi="Calibri" w:cs="Calibri"/>
                <w:sz w:val="18"/>
                <w:szCs w:val="18"/>
              </w:rPr>
              <w:t>of  Dutch</w:t>
            </w:r>
            <w:proofErr w:type="gramEnd"/>
            <w:r w:rsidRPr="00DA14EE">
              <w:rPr>
                <w:rFonts w:ascii="Calibri" w:hAnsi="Calibri" w:cs="Calibri"/>
                <w:sz w:val="18"/>
                <w:szCs w:val="18"/>
              </w:rPr>
              <w:t xml:space="preserve"> AML Act)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78B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Operation or combination of operations by or on behalf of a customer in connection with the procurement or provision of services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3A9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FC0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UTR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DA29" w14:textId="2402C3C2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UTRs are forwarded to the FIU. The FIU actually decides whether a reported transaction is suspicious. There is a separate database for UTRs and STRs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182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definition of transaction was dealt with by the Administrative High Court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for Trade and Industry (CBB 23 </w:t>
            </w: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november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2009, nr. A WB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>08/288, LJN BK 4209)</w:t>
            </w:r>
          </w:p>
        </w:tc>
      </w:tr>
      <w:tr w:rsidR="001956AD" w:rsidRPr="0022198A" w14:paraId="09EA8B08" w14:textId="77777777" w:rsidTr="001956AD">
        <w:trPr>
          <w:trHeight w:val="69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2F058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4CC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CB2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Suspicion, reasonable grounds to suspect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69B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Immediately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57F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20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The performing – on someone’s own or on someone else’s behalf, on someone’s own or someone else’s account: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>a) deposits and withdrawals (…)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9CF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C48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contains one transaction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B1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The distinction between STR and SAR reporting is not made in the AML Act as such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27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4CA71641" w14:textId="77777777" w:rsidTr="001956AD">
        <w:trPr>
          <w:trHeight w:val="576"/>
        </w:trPr>
        <w:tc>
          <w:tcPr>
            <w:tcW w:w="246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4744C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388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SAR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D10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1ED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DCEC2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CB1E" w14:textId="1AE3DF0F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b)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buying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and selling foreign currency,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  <w:t>c) transfer of the ownership or asset values, (…)</w:t>
            </w:r>
            <w:r w:rsidRPr="0022198A">
              <w:rPr>
                <w:rFonts w:ascii="Calibri" w:hAnsi="Calibri" w:cs="Calibri"/>
                <w:sz w:val="18"/>
                <w:szCs w:val="18"/>
              </w:rPr>
              <w:br/>
            </w: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d) a claim for shares </w:t>
            </w:r>
            <w:r w:rsidR="009E6389">
              <w:rPr>
                <w:rFonts w:ascii="Calibri" w:hAnsi="Calibri" w:cs="Calibri"/>
                <w:sz w:val="18"/>
                <w:szCs w:val="18"/>
              </w:rPr>
              <w:t xml:space="preserve">or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a claim for stock swap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ED8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282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SAR may contain several individual transacti</w:t>
            </w: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>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D8D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82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0C284384" w14:textId="77777777" w:rsidTr="001956AD">
        <w:trPr>
          <w:trHeight w:val="1305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D96A7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PL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52B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73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CA1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Within 14 days after the end of each calendar month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12(2)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744E" w14:textId="191CBAA0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15</w:t>
            </w:r>
            <w:r w:rsidR="00CA6EB3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(all transactions)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AFE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E30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0AB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FF2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Some groups of obliged institutions are exempted  (e.g. lawyers, real estate agents)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5E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0D715380" w14:textId="77777777" w:rsidTr="001956AD">
        <w:trPr>
          <w:trHeight w:val="26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DE30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PT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E35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EC2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16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577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transaction takes place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16 AML Act), or promptly thereafter (Article 17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DB54" w14:textId="2023B928" w:rsidR="00FD26E3" w:rsidRPr="0022198A" w:rsidRDefault="00FD26E3" w:rsidP="0015472F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In the case of transactions related to a jurisdiction subject to EU countermeasures, the supervisors may determine that transactions exceeding 5</w:t>
            </w:r>
            <w:r w:rsidR="00CA6EB3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or more must be reported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27 AML Act)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E55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49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  <w:r>
              <w:rPr>
                <w:rFonts w:ascii="Calibri" w:hAnsi="Calibri" w:cs="Calibri"/>
                <w:sz w:val="18"/>
                <w:szCs w:val="18"/>
              </w:rPr>
              <w:t>(Article 16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B24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9A2C" w14:textId="1582FCBD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With the 2008 AML Act the reports are sent to the FIU and the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Attorney-General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of the Portuguese Republic at the same time. Both authorities perform an initial analysis of the submitted reports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37B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According to the latest information none of the competent supervisors has applied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27 AML Act </w:t>
            </w:r>
            <w:r>
              <w:rPr>
                <w:rFonts w:ascii="Calibri" w:hAnsi="Calibri" w:cs="Calibri"/>
                <w:sz w:val="18"/>
                <w:szCs w:val="18"/>
              </w:rPr>
              <w:t>(Annual Report FIU shows no evidence)</w:t>
            </w:r>
          </w:p>
        </w:tc>
      </w:tr>
      <w:tr w:rsidR="001956AD" w:rsidRPr="0022198A" w14:paraId="7BAE8530" w14:textId="77777777" w:rsidTr="001956AD">
        <w:trPr>
          <w:trHeight w:val="98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2F1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F4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2E9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Suspicion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 AML Act)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6373" w14:textId="5D26A3E4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the transaction or immediately thereafter, but no later than 24 hours after the transaction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Articles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 and 4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1CE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9F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DD3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3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E6A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BCC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1F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0E26C46B" w14:textId="77777777" w:rsidTr="001956AD">
        <w:trPr>
          <w:trHeight w:val="17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CAD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CDF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80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2DBC" w14:textId="2E6A5BBD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Within </w:t>
            </w:r>
            <w:r w:rsidR="00CA6EB3">
              <w:rPr>
                <w:rFonts w:ascii="Calibri" w:hAnsi="Calibri" w:cs="Calibri"/>
                <w:sz w:val="18"/>
                <w:szCs w:val="18"/>
              </w:rPr>
              <w:t>10</w:t>
            </w:r>
            <w:r w:rsidR="00CA6EB3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working days from the performing of the transactions subject to the reporting obligation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3(6)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A6821" w14:textId="414E2971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15</w:t>
            </w:r>
            <w:r w:rsidR="00CA6EB3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(cash transactions)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3(6) AML Act)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83DF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  <w:p w14:paraId="6F94B93B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93079E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98038E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CD192E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4BD532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3ED70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D92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69D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is one transaction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41E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A7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426FF9D5" w14:textId="77777777" w:rsidTr="001956AD">
        <w:trPr>
          <w:trHeight w:val="39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749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RO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87A7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ETR (external transactions reporting)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EAF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9B30" w14:textId="6E98AE56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Within </w:t>
            </w:r>
            <w:r w:rsidR="00CA6EB3">
              <w:rPr>
                <w:rFonts w:ascii="Calibri" w:hAnsi="Calibri" w:cs="Calibri"/>
                <w:sz w:val="18"/>
                <w:szCs w:val="18"/>
              </w:rPr>
              <w:t>10</w:t>
            </w:r>
            <w:r w:rsidR="00CA6EB3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working days from the performing of the transactions subject to the reporting obligation</w:t>
            </w:r>
            <w:r w:rsidR="00CA6E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3(7)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771E2" w14:textId="726514B9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15</w:t>
            </w:r>
            <w:r w:rsidR="00CA6EB3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  (not limited to cash; coming from or going to accounts outside Romania)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9EB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252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26D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One ETR is one transaction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94E6" w14:textId="5DB8A258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External Transactions are defined in Romanian AML legislation as: </w:t>
            </w:r>
            <w:r w:rsidR="00CA6EB3">
              <w:rPr>
                <w:rFonts w:ascii="Calibri" w:hAnsi="Calibri" w:cs="Calibri"/>
                <w:sz w:val="18"/>
                <w:szCs w:val="18"/>
              </w:rPr>
              <w:t>‘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external transfers in and from accounts means cross-border transfers, (...), as well as payment and receipt operations carried out between resident and non-resident persons on the Romanian territory</w:t>
            </w:r>
            <w:r w:rsidR="00CA6EB3">
              <w:rPr>
                <w:rFonts w:ascii="Calibri" w:hAnsi="Calibri" w:cs="Calibri"/>
                <w:sz w:val="18"/>
                <w:szCs w:val="18"/>
              </w:rPr>
              <w:t>’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04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3B7064B1" w14:textId="77777777" w:rsidTr="001956AD">
        <w:trPr>
          <w:trHeight w:val="282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4502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SK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356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UTR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2B1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Unusual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3BE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7418B5">
              <w:rPr>
                <w:rFonts w:ascii="Calibri" w:hAnsi="Calibri" w:cs="Calibri"/>
                <w:sz w:val="18"/>
                <w:szCs w:val="18"/>
              </w:rPr>
              <w:t>Before the transaction takes place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16 AML Act), otherwise without undue delay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17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838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9D6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4DF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17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80E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UTR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E488" w14:textId="734214A3" w:rsidR="00FD26E3" w:rsidRPr="0022198A" w:rsidRDefault="00FD26E3" w:rsidP="00CA6EB3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EUROSTAT </w:t>
            </w:r>
            <w:r w:rsidR="00CA6EB3" w:rsidRPr="0022198A">
              <w:rPr>
                <w:rFonts w:ascii="Calibri" w:hAnsi="Calibri" w:cs="Calibri"/>
                <w:sz w:val="18"/>
                <w:szCs w:val="18"/>
              </w:rPr>
              <w:t>categori</w:t>
            </w:r>
            <w:r w:rsidR="00CA6EB3">
              <w:rPr>
                <w:rFonts w:ascii="Calibri" w:hAnsi="Calibri" w:cs="Calibri"/>
                <w:sz w:val="18"/>
                <w:szCs w:val="18"/>
              </w:rPr>
              <w:t>z</w:t>
            </w:r>
            <w:r w:rsidR="00CA6EB3" w:rsidRPr="0022198A">
              <w:rPr>
                <w:rFonts w:ascii="Calibri" w:hAnsi="Calibri" w:cs="Calibri"/>
                <w:sz w:val="18"/>
                <w:szCs w:val="18"/>
              </w:rPr>
              <w:t>ed Slovakia</w:t>
            </w:r>
            <w:r w:rsidR="00CA6EB3">
              <w:rPr>
                <w:rFonts w:ascii="Calibri" w:hAnsi="Calibri" w:cs="Calibri"/>
                <w:sz w:val="18"/>
                <w:szCs w:val="18"/>
              </w:rPr>
              <w:t>’</w:t>
            </w:r>
            <w:r w:rsidR="00CA6EB3" w:rsidRPr="0022198A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reporting system as an STR system. UTRs are forwarded to the FIU. It is the FIU that decides whether a reported transaction is suspicious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7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AML Act lists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on a non-exhaustive basis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transactions that can be considered unusual 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 4 AML Act)</w:t>
            </w:r>
          </w:p>
        </w:tc>
      </w:tr>
      <w:tr w:rsidR="001956AD" w:rsidRPr="0022198A" w14:paraId="3B9DFEDA" w14:textId="77777777" w:rsidTr="001956AD">
        <w:trPr>
          <w:trHeight w:val="16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A334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F7F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15D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127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the transaction takes place, or as soon as is practicable thereafter or immediately when the suspicion raises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38(3) and 38(6)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BAB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197B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3F3CD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Any receipt, handover, exchange, safekeeping, disposal or other handling of monies or other property by a person liable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67B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38(4) AML Act)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90C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26C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63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38D099D3" w14:textId="77777777" w:rsidTr="001956AD">
        <w:trPr>
          <w:trHeight w:val="26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C6FD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B0E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45D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4FD3" w14:textId="491EB204" w:rsidR="00FD26E3" w:rsidRPr="0022198A" w:rsidRDefault="00FD26E3" w:rsidP="001F6F1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Immediately after the transaction is completed and not later than within </w:t>
            </w:r>
            <w:r w:rsidR="001F6F1E">
              <w:rPr>
                <w:rFonts w:ascii="Calibri" w:hAnsi="Calibri" w:cs="Calibri"/>
                <w:sz w:val="18"/>
                <w:szCs w:val="18"/>
              </w:rPr>
              <w:t>3</w:t>
            </w:r>
            <w:r w:rsidR="001F6F1E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working days following its completion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38(1) AML Act)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421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30.000 EUR (cash transactions)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6B6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7418B5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7418B5">
              <w:rPr>
                <w:rFonts w:ascii="Calibri" w:hAnsi="Calibri" w:cs="Calibri"/>
                <w:sz w:val="18"/>
                <w:szCs w:val="18"/>
              </w:rPr>
              <w:t xml:space="preserve"> 3(19) AML Act)</w:t>
            </w:r>
          </w:p>
          <w:p w14:paraId="4800A3C9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98224C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689400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502AE6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E95632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9C9F84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A085C3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38589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AB6F06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CF0ED2" w14:textId="77777777" w:rsidR="00FD26E3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787FB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031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B71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may contain several individual transactions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8FE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The reporting obligation concerning cash transactions does not apply to auditing firms, independent auditors, and legal entities and natural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persons performing accounting or tax advisory services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A4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6B1A2735" w14:textId="77777777" w:rsidTr="001956AD">
        <w:trPr>
          <w:trHeight w:val="12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F9F0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2E3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 (suspicion reporting)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3558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suspicion, reasonable grounds to suspect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62A2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the transaction takes place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19 AML Act)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, otherwise without delay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(Article 18(2) AML Act)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714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C41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2D13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  <w:r w:rsidRPr="005F750A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 18(1) AML Act)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DDD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476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A2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3504C804" w14:textId="77777777" w:rsidTr="001956AD">
        <w:trPr>
          <w:trHeight w:val="1966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1530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ES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B2E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CTR (systematic reporting)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E61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A200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 a monthly basis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750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 7 of RD 925/1995)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2D4" w14:textId="063C3635" w:rsidR="00FD26E3" w:rsidRPr="0022198A" w:rsidRDefault="00FD26E3" w:rsidP="001F6F1E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B050"/>
                <w:sz w:val="18"/>
                <w:szCs w:val="18"/>
                <w:lang w:eastAsia="en-US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Depends on each category of obliged entities. Financial institutions (30</w:t>
            </w:r>
            <w:r w:rsidR="001F6F1E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000 EUR, </w:t>
            </w:r>
            <w:r w:rsidR="001F6F1E">
              <w:rPr>
                <w:rFonts w:ascii="Calibri" w:hAnsi="Calibri" w:cs="Calibri"/>
                <w:sz w:val="18"/>
                <w:szCs w:val="18"/>
              </w:rPr>
              <w:t>A</w:t>
            </w:r>
            <w:r w:rsidR="001F6F1E" w:rsidRPr="0022198A">
              <w:rPr>
                <w:rFonts w:ascii="Calibri" w:hAnsi="Calibri" w:cs="Calibri"/>
                <w:sz w:val="18"/>
                <w:szCs w:val="18"/>
              </w:rPr>
              <w:t xml:space="preserve">rticle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7.2. of Royal Decree 925/1995); money remittance and foreign exchange offices (3</w:t>
            </w:r>
            <w:r w:rsidR="001F6F1E">
              <w:rPr>
                <w:rFonts w:ascii="Calibri" w:hAnsi="Calibri" w:cs="Calibri"/>
                <w:sz w:val="18"/>
                <w:szCs w:val="18"/>
              </w:rPr>
              <w:t>,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000 EUR).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2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9694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78A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CTR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135B" w14:textId="4EF83F35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Certain categories of institutions and persons covered by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the AML Act may be exempted from the obligation to systematically report on transactions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37D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130D379E" w14:textId="77777777" w:rsidTr="001956AD">
        <w:trPr>
          <w:trHeight w:val="126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009F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SE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8BF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STR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418A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Suspicion, reasonable grounds to suspect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750A">
              <w:rPr>
                <w:rFonts w:ascii="Calibri" w:hAnsi="Calibri" w:cs="Calibri"/>
                <w:sz w:val="18"/>
                <w:szCs w:val="18"/>
              </w:rPr>
              <w:t>(Chap.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3,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 1(A) AML Act)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D3E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the transaction takes place, otherwise without delay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(Chap. 3,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5F750A">
              <w:rPr>
                <w:rFonts w:ascii="Calibri" w:hAnsi="Calibri" w:cs="Calibri"/>
                <w:sz w:val="18"/>
                <w:szCs w:val="18"/>
              </w:rPr>
              <w:t xml:space="preserve"> 1(A) AML Act)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449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742B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Act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6B9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170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STR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866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0F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56AD" w:rsidRPr="0022198A" w14:paraId="5A2AB4C1" w14:textId="77777777" w:rsidTr="001956AD">
        <w:trPr>
          <w:trHeight w:val="353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689C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91C10" w14:textId="249DB7B0" w:rsidR="00FD26E3" w:rsidRPr="0022198A" w:rsidRDefault="00FD26E3" w:rsidP="001F6F1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SAR on the basis of 327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–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9 POCA 2002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6129" w14:textId="519C8FD6" w:rsidR="00FD26E3" w:rsidRPr="0022198A" w:rsidRDefault="00FD26E3" w:rsidP="001F6F1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 (</w:t>
            </w:r>
            <w:r w:rsidRPr="0022198A">
              <w:rPr>
                <w:rFonts w:ascii="Calibri" w:hAnsi="Calibri" w:cs="Calibri"/>
                <w:i/>
                <w:sz w:val="18"/>
                <w:szCs w:val="18"/>
              </w:rPr>
              <w:t xml:space="preserve">Shah v HSBC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[2012] EWHC 1283 (QB))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497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Before any action is taken; as appropriate consent is required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754E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F17A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No definition in AML legislation. In practice, transactions are included in the notion of ‘activity’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9B62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Yes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ABB6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One consent SAR may contain a number of activities including a transaction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25ED" w14:textId="01347C0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The consent regime in the UK follows from the reporting possibility pursuant to </w:t>
            </w:r>
            <w:r>
              <w:rPr>
                <w:rFonts w:ascii="Calibri" w:hAnsi="Calibri" w:cs="Calibri"/>
                <w:sz w:val="18"/>
                <w:szCs w:val="18"/>
              </w:rPr>
              <w:t>Article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s 327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–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9 POCA. It is not an obligation, but a voluntary regime. It is not the result of the implementation of the international norms or European Directives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F9E0" w14:textId="71271FBE" w:rsidR="00FD26E3" w:rsidRPr="0022198A" w:rsidRDefault="00FD26E3" w:rsidP="001F6F1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Approximately 5.5% of the total number </w:t>
            </w:r>
            <w:proofErr w:type="gramStart"/>
            <w:r w:rsidRPr="0022198A">
              <w:rPr>
                <w:rFonts w:ascii="Calibri" w:hAnsi="Calibri" w:cs="Calibri"/>
                <w:sz w:val="18"/>
                <w:szCs w:val="18"/>
              </w:rPr>
              <w:t>of  SARs</w:t>
            </w:r>
            <w:proofErr w:type="gramEnd"/>
            <w:r w:rsidRPr="0022198A">
              <w:rPr>
                <w:rFonts w:ascii="Calibri" w:hAnsi="Calibri" w:cs="Calibri"/>
                <w:sz w:val="18"/>
                <w:szCs w:val="18"/>
              </w:rPr>
              <w:t xml:space="preserve"> concerns consent SARs (data year 2011). In terms of workload for the UK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FIU,</w:t>
            </w:r>
            <w:r w:rsidR="001F6F1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unlike 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‘</w:t>
            </w:r>
            <w:r w:rsidR="001F6F1E" w:rsidRPr="0022198A">
              <w:rPr>
                <w:rFonts w:ascii="Calibri" w:hAnsi="Calibri" w:cs="Calibri"/>
                <w:sz w:val="18"/>
                <w:szCs w:val="18"/>
              </w:rPr>
              <w:t>regular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’</w:t>
            </w:r>
            <w:r w:rsidR="001F6F1E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SARs, consent SARs are always analysed by the FIU</w:t>
            </w:r>
          </w:p>
        </w:tc>
      </w:tr>
      <w:tr w:rsidR="001956AD" w:rsidRPr="0022198A" w14:paraId="37ACA11F" w14:textId="77777777" w:rsidTr="001956AD">
        <w:trPr>
          <w:trHeight w:val="269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3AAA" w14:textId="77777777" w:rsidR="00FD26E3" w:rsidRPr="0022198A" w:rsidRDefault="00FD26E3" w:rsidP="00A956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2198A">
              <w:rPr>
                <w:rFonts w:ascii="Calibri" w:hAnsi="Calibri" w:cs="Calibri"/>
                <w:b/>
                <w:sz w:val="18"/>
                <w:szCs w:val="18"/>
              </w:rPr>
              <w:t>UK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884A79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SAR on the basis of 330 POCA 2002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DF13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Knowledge, suspicion or reasonable grounds to suspect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8A95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As soon as is practicable after the information or other matter comes to him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85631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2198A">
              <w:rPr>
                <w:rFonts w:ascii="Calibri" w:hAnsi="Calibri" w:cs="Calibri"/>
                <w:sz w:val="18"/>
                <w:szCs w:val="18"/>
              </w:rPr>
              <w:t>n.a</w:t>
            </w:r>
            <w:proofErr w:type="spellEnd"/>
            <w:r w:rsidRPr="0022198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4F7F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8FB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D58C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One SAR may contain several individual transactions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22D0" w14:textId="11E6FCB0" w:rsidR="00FD26E3" w:rsidRPr="0022198A" w:rsidRDefault="00FD26E3" w:rsidP="001F6F1E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 xml:space="preserve">In the case </w:t>
            </w:r>
            <w:r w:rsidRPr="0022198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 v </w:t>
            </w:r>
            <w:proofErr w:type="spellStart"/>
            <w:r w:rsidRPr="0022198A">
              <w:rPr>
                <w:rFonts w:ascii="Calibri" w:hAnsi="Calibri" w:cs="Calibri"/>
                <w:i/>
                <w:iCs/>
                <w:sz w:val="18"/>
                <w:szCs w:val="18"/>
              </w:rPr>
              <w:t>DaSilva</w:t>
            </w:r>
            <w:proofErr w:type="spellEnd"/>
            <w:r w:rsidRPr="0022198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the notion of suspicion was clarified. The court required a suspicion 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‘</w:t>
            </w:r>
            <w:r w:rsidRPr="0022198A">
              <w:rPr>
                <w:rFonts w:ascii="Calibri" w:hAnsi="Calibri" w:cs="Calibri"/>
                <w:sz w:val="18"/>
                <w:szCs w:val="18"/>
              </w:rPr>
              <w:t>that is more than fanciful</w:t>
            </w:r>
            <w:r w:rsidR="001F6F1E">
              <w:rPr>
                <w:rFonts w:ascii="Calibri" w:hAnsi="Calibri" w:cs="Calibri"/>
                <w:sz w:val="18"/>
                <w:szCs w:val="18"/>
              </w:rPr>
              <w:t>’</w:t>
            </w:r>
            <w:r w:rsidR="001F6F1E" w:rsidRPr="002219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198A">
              <w:rPr>
                <w:rFonts w:ascii="Calibri" w:hAnsi="Calibri" w:cs="Calibri"/>
                <w:sz w:val="18"/>
                <w:szCs w:val="18"/>
              </w:rPr>
              <w:t xml:space="preserve">in order for an offence money laundering, or assistance, to be present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64B" w14:textId="77777777" w:rsidR="00FD26E3" w:rsidRPr="0022198A" w:rsidRDefault="00FD26E3" w:rsidP="00A95631">
            <w:pPr>
              <w:rPr>
                <w:rFonts w:ascii="Calibri" w:hAnsi="Calibri" w:cs="Calibri"/>
                <w:sz w:val="18"/>
                <w:szCs w:val="18"/>
              </w:rPr>
            </w:pPr>
            <w:r w:rsidRPr="0022198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74ADECBD" w14:textId="77777777" w:rsidR="00FD26E3" w:rsidRPr="00D3364D" w:rsidRDefault="00FD26E3" w:rsidP="00FD26E3"/>
    <w:p w14:paraId="4F5FFDA1" w14:textId="77777777" w:rsidR="00BE54E9" w:rsidRDefault="00FD26E3" w:rsidP="00BE54E9">
      <w:pPr>
        <w:rPr>
          <w:rFonts w:ascii="Calibri" w:hAnsi="Calibri" w:cs="Calibri"/>
          <w:bCs/>
          <w:szCs w:val="20"/>
        </w:rPr>
      </w:pPr>
      <w:r w:rsidRPr="00A84442">
        <w:rPr>
          <w:rFonts w:ascii="Calibri" w:hAnsi="Calibri"/>
          <w:i/>
          <w:szCs w:val="20"/>
        </w:rPr>
        <w:t xml:space="preserve">Legend: </w:t>
      </w:r>
      <w:proofErr w:type="spellStart"/>
      <w:r w:rsidRPr="006F23A1">
        <w:rPr>
          <w:rFonts w:ascii="Calibri" w:hAnsi="Calibri"/>
          <w:szCs w:val="20"/>
        </w:rPr>
        <w:t>n.a</w:t>
      </w:r>
      <w:proofErr w:type="spellEnd"/>
      <w:r w:rsidRPr="006F23A1">
        <w:rPr>
          <w:rFonts w:ascii="Calibri" w:hAnsi="Calibri"/>
          <w:szCs w:val="20"/>
        </w:rPr>
        <w:t xml:space="preserve">. </w:t>
      </w:r>
      <w:proofErr w:type="gramStart"/>
      <w:r w:rsidRPr="006F23A1">
        <w:rPr>
          <w:rFonts w:ascii="Calibri" w:hAnsi="Calibri"/>
          <w:szCs w:val="20"/>
        </w:rPr>
        <w:t>indicates</w:t>
      </w:r>
      <w:proofErr w:type="gramEnd"/>
      <w:r w:rsidRPr="006F23A1">
        <w:rPr>
          <w:rFonts w:ascii="Calibri" w:hAnsi="Calibri"/>
          <w:szCs w:val="20"/>
        </w:rPr>
        <w:t xml:space="preserve"> ‘not applicable’, e.g. in relation to the o</w:t>
      </w:r>
      <w:r w:rsidRPr="006F23A1">
        <w:rPr>
          <w:rFonts w:ascii="Calibri" w:hAnsi="Calibri" w:cs="Calibri"/>
          <w:bCs/>
          <w:szCs w:val="20"/>
        </w:rPr>
        <w:t>bjective threshold for reporting this means that there is no threshold for reporting established by law</w:t>
      </w:r>
      <w:r w:rsidR="001F6F1E">
        <w:rPr>
          <w:rFonts w:ascii="Calibri" w:hAnsi="Calibri" w:cs="Calibri"/>
          <w:bCs/>
          <w:szCs w:val="20"/>
        </w:rPr>
        <w:t>.</w:t>
      </w:r>
    </w:p>
    <w:p w14:paraId="5CE91BA5" w14:textId="032FB42A" w:rsidR="00496C0E" w:rsidRPr="006F23A1" w:rsidRDefault="00496C0E" w:rsidP="00BE54E9">
      <w:pPr>
        <w:rPr>
          <w:rFonts w:asciiTheme="minorHAnsi" w:hAnsiTheme="minorHAnsi" w:cs="Calibri"/>
          <w:bCs/>
          <w:szCs w:val="20"/>
        </w:rPr>
      </w:pPr>
      <w:r w:rsidRPr="006F23A1">
        <w:rPr>
          <w:rFonts w:asciiTheme="minorHAnsi" w:hAnsiTheme="minorHAnsi"/>
          <w:szCs w:val="20"/>
        </w:rPr>
        <w:t xml:space="preserve">RILMML stands for: Rules on the Implementation of the Law against Measures on Money </w:t>
      </w:r>
      <w:r>
        <w:rPr>
          <w:rFonts w:asciiTheme="minorHAnsi" w:hAnsiTheme="minorHAnsi"/>
          <w:szCs w:val="20"/>
        </w:rPr>
        <w:t>L</w:t>
      </w:r>
      <w:r w:rsidRPr="006F23A1">
        <w:rPr>
          <w:rFonts w:asciiTheme="minorHAnsi" w:hAnsiTheme="minorHAnsi"/>
          <w:szCs w:val="20"/>
        </w:rPr>
        <w:t>aundering.</w:t>
      </w:r>
    </w:p>
    <w:p w14:paraId="3091E3C7" w14:textId="77777777" w:rsidR="001956AD" w:rsidRDefault="001956AD" w:rsidP="00BE54E9">
      <w:pPr>
        <w:rPr>
          <w:rFonts w:ascii="Calibri" w:hAnsi="Calibri" w:cs="Calibri"/>
          <w:bCs/>
          <w:i/>
          <w:szCs w:val="20"/>
        </w:rPr>
      </w:pPr>
    </w:p>
    <w:sectPr w:rsidR="001956AD" w:rsidSect="001956AD">
      <w:pgSz w:w="16838" w:h="11906" w:orient="landscape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16C11" w14:textId="77777777" w:rsidR="00A03986" w:rsidRDefault="00A03986" w:rsidP="00323800">
      <w:r>
        <w:separator/>
      </w:r>
    </w:p>
  </w:endnote>
  <w:endnote w:type="continuationSeparator" w:id="0">
    <w:p w14:paraId="6E7976D7" w14:textId="77777777" w:rsidR="00A03986" w:rsidRDefault="00A03986" w:rsidP="0032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AC9B" w14:textId="77777777" w:rsidR="00A03986" w:rsidRDefault="00A03986" w:rsidP="00323800">
      <w:r>
        <w:separator/>
      </w:r>
    </w:p>
  </w:footnote>
  <w:footnote w:type="continuationSeparator" w:id="0">
    <w:p w14:paraId="3D509C79" w14:textId="77777777" w:rsidR="00A03986" w:rsidRDefault="00A03986" w:rsidP="00323800">
      <w:r>
        <w:continuationSeparator/>
      </w:r>
    </w:p>
  </w:footnote>
  <w:footnote w:id="1">
    <w:p w14:paraId="106BF65E" w14:textId="6578A435" w:rsidR="00A95631" w:rsidRPr="00323800" w:rsidRDefault="00A95631" w:rsidP="00323800">
      <w:r>
        <w:rPr>
          <w:rStyle w:val="FootnoteReference"/>
        </w:rPr>
        <w:footnoteRef/>
      </w:r>
      <w:r>
        <w:t xml:space="preserve"> </w:t>
      </w:r>
      <w:r w:rsidRPr="006F23A1">
        <w:rPr>
          <w:rFonts w:ascii="Calibri" w:hAnsi="Calibri" w:cs="Calibri"/>
          <w:bCs/>
          <w:szCs w:val="20"/>
        </w:rPr>
        <w:t xml:space="preserve">This is an online appendix to </w:t>
      </w:r>
      <w:r>
        <w:rPr>
          <w:rFonts w:ascii="Calibri" w:hAnsi="Calibri" w:cs="Calibri"/>
          <w:bCs/>
          <w:i/>
          <w:szCs w:val="20"/>
        </w:rPr>
        <w:t>The Economic and Legal Effectiveness of the European Union’s Anti-Money Laundering Policy</w:t>
      </w:r>
      <w:r w:rsidRPr="000313EE">
        <w:rPr>
          <w:rFonts w:ascii="Calibri" w:hAnsi="Calibri" w:cs="Calibri"/>
          <w:bCs/>
          <w:i/>
          <w:szCs w:val="20"/>
        </w:rPr>
        <w:t>,</w:t>
      </w:r>
      <w:r w:rsidRPr="006F23A1">
        <w:rPr>
          <w:rFonts w:ascii="Calibri" w:hAnsi="Calibri" w:cs="Calibri"/>
          <w:bCs/>
          <w:szCs w:val="20"/>
        </w:rPr>
        <w:t xml:space="preserve"> </w:t>
      </w:r>
      <w:r>
        <w:rPr>
          <w:rFonts w:ascii="Calibri" w:hAnsi="Calibri" w:cs="Calibri"/>
          <w:bCs/>
          <w:szCs w:val="20"/>
        </w:rPr>
        <w:t>C</w:t>
      </w:r>
      <w:r w:rsidRPr="006F23A1">
        <w:rPr>
          <w:rFonts w:ascii="Calibri" w:hAnsi="Calibri" w:cs="Calibri"/>
          <w:bCs/>
          <w:szCs w:val="20"/>
        </w:rPr>
        <w:t>hapter 3</w:t>
      </w:r>
      <w:r>
        <w:rPr>
          <w:rFonts w:ascii="Calibri" w:hAnsi="Calibri" w:cs="Calibri"/>
          <w:bCs/>
          <w:i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rginia Williams">
    <w15:presenceInfo w15:providerId="Windows Live" w15:userId="c253e0485040b4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3"/>
    <w:rsid w:val="000313EE"/>
    <w:rsid w:val="000F45A5"/>
    <w:rsid w:val="00105938"/>
    <w:rsid w:val="00115F32"/>
    <w:rsid w:val="0015472F"/>
    <w:rsid w:val="001956AD"/>
    <w:rsid w:val="001E1249"/>
    <w:rsid w:val="001F6F1E"/>
    <w:rsid w:val="00323800"/>
    <w:rsid w:val="003952C4"/>
    <w:rsid w:val="0045124B"/>
    <w:rsid w:val="00496C0E"/>
    <w:rsid w:val="004F1717"/>
    <w:rsid w:val="005250B8"/>
    <w:rsid w:val="006168D5"/>
    <w:rsid w:val="006F23A1"/>
    <w:rsid w:val="00707F53"/>
    <w:rsid w:val="007D7ECA"/>
    <w:rsid w:val="007F0FF7"/>
    <w:rsid w:val="00843721"/>
    <w:rsid w:val="008B6898"/>
    <w:rsid w:val="00967E6C"/>
    <w:rsid w:val="009868BE"/>
    <w:rsid w:val="009A75D1"/>
    <w:rsid w:val="009D4606"/>
    <w:rsid w:val="009E4A84"/>
    <w:rsid w:val="009E6389"/>
    <w:rsid w:val="00A03986"/>
    <w:rsid w:val="00A32A09"/>
    <w:rsid w:val="00A95631"/>
    <w:rsid w:val="00AD4869"/>
    <w:rsid w:val="00AE3BE7"/>
    <w:rsid w:val="00B056C4"/>
    <w:rsid w:val="00B15986"/>
    <w:rsid w:val="00B9127A"/>
    <w:rsid w:val="00BB41E6"/>
    <w:rsid w:val="00BE54E9"/>
    <w:rsid w:val="00C30069"/>
    <w:rsid w:val="00CA6EB3"/>
    <w:rsid w:val="00CD1DE9"/>
    <w:rsid w:val="00ED599B"/>
    <w:rsid w:val="00FD26E3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F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3"/>
    <w:pPr>
      <w:spacing w:after="0" w:line="240" w:lineRule="auto"/>
    </w:pPr>
    <w:rPr>
      <w:rFonts w:ascii="Verdana" w:eastAsia="SimSun" w:hAnsi="Verdana" w:cs="Times New Roman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/>
      <w:b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eastAsia="Times"/>
      <w:b/>
      <w:color w:val="000000"/>
      <w:sz w:val="26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eastAsia="Times"/>
      <w:b/>
      <w:color w:val="000000"/>
      <w:sz w:val="18"/>
      <w:szCs w:val="20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line="260" w:lineRule="exact"/>
    </w:pPr>
    <w:rPr>
      <w:rFonts w:eastAsia="Times"/>
      <w:b/>
      <w:i/>
      <w:color w:val="000000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 w:val="18"/>
      <w:szCs w:val="20"/>
      <w:lang w:val="en-US" w:eastAsia="en-US"/>
    </w:rPr>
  </w:style>
  <w:style w:type="paragraph" w:customStyle="1" w:styleId="Table">
    <w:name w:val="Table"/>
    <w:basedOn w:val="TableofFigures"/>
    <w:link w:val="TableChar"/>
    <w:qFormat/>
    <w:rsid w:val="00FD26E3"/>
    <w:pPr>
      <w:jc w:val="center"/>
    </w:pPr>
    <w:rPr>
      <w:rFonts w:ascii="Calibri" w:hAnsi="Calibri"/>
      <w:b/>
      <w:sz w:val="22"/>
      <w:szCs w:val="22"/>
    </w:rPr>
  </w:style>
  <w:style w:type="character" w:customStyle="1" w:styleId="TableChar">
    <w:name w:val="Table Char"/>
    <w:link w:val="Table"/>
    <w:rsid w:val="00FD26E3"/>
    <w:rPr>
      <w:rFonts w:ascii="Calibri" w:eastAsia="SimSun" w:hAnsi="Calibri" w:cs="Times New Roman"/>
      <w:b/>
      <w:lang w:val="en-GB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D26E3"/>
  </w:style>
  <w:style w:type="paragraph" w:styleId="FootnoteText">
    <w:name w:val="footnote text"/>
    <w:basedOn w:val="Normal"/>
    <w:link w:val="FootnoteTextChar"/>
    <w:uiPriority w:val="99"/>
    <w:semiHidden/>
    <w:unhideWhenUsed/>
    <w:rsid w:val="0032380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00"/>
    <w:rPr>
      <w:rFonts w:ascii="Verdana" w:eastAsia="SimSun" w:hAnsi="Verdan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23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EE"/>
    <w:rPr>
      <w:rFonts w:ascii="Segoe UI" w:eastAsia="SimSun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30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0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069"/>
    <w:rPr>
      <w:rFonts w:ascii="Verdana" w:eastAsia="SimSun" w:hAnsi="Verdan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069"/>
    <w:rPr>
      <w:rFonts w:ascii="Verdana" w:eastAsia="SimSun" w:hAnsi="Verdana" w:cs="Times New Roman"/>
      <w:b/>
      <w:bCs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3"/>
    <w:pPr>
      <w:spacing w:after="0" w:line="240" w:lineRule="auto"/>
    </w:pPr>
    <w:rPr>
      <w:rFonts w:ascii="Verdana" w:eastAsia="SimSun" w:hAnsi="Verdana" w:cs="Times New Roman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/>
      <w:b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eastAsia="Times"/>
      <w:b/>
      <w:color w:val="000000"/>
      <w:sz w:val="26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eastAsia="Times"/>
      <w:b/>
      <w:color w:val="000000"/>
      <w:sz w:val="18"/>
      <w:szCs w:val="20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line="260" w:lineRule="exact"/>
    </w:pPr>
    <w:rPr>
      <w:rFonts w:eastAsia="Times"/>
      <w:b/>
      <w:i/>
      <w:color w:val="000000"/>
      <w:sz w:val="16"/>
      <w:szCs w:val="20"/>
      <w:lang w:val="en-US" w:eastAsia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 w:val="18"/>
      <w:szCs w:val="20"/>
      <w:lang w:val="en-US" w:eastAsia="en-US"/>
    </w:rPr>
  </w:style>
  <w:style w:type="paragraph" w:customStyle="1" w:styleId="Table">
    <w:name w:val="Table"/>
    <w:basedOn w:val="TableofFigures"/>
    <w:link w:val="TableChar"/>
    <w:qFormat/>
    <w:rsid w:val="00FD26E3"/>
    <w:pPr>
      <w:jc w:val="center"/>
    </w:pPr>
    <w:rPr>
      <w:rFonts w:ascii="Calibri" w:hAnsi="Calibri"/>
      <w:b/>
      <w:sz w:val="22"/>
      <w:szCs w:val="22"/>
    </w:rPr>
  </w:style>
  <w:style w:type="character" w:customStyle="1" w:styleId="TableChar">
    <w:name w:val="Table Char"/>
    <w:link w:val="Table"/>
    <w:rsid w:val="00FD26E3"/>
    <w:rPr>
      <w:rFonts w:ascii="Calibri" w:eastAsia="SimSun" w:hAnsi="Calibri" w:cs="Times New Roman"/>
      <w:b/>
      <w:lang w:val="en-GB"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D26E3"/>
  </w:style>
  <w:style w:type="paragraph" w:styleId="FootnoteText">
    <w:name w:val="footnote text"/>
    <w:basedOn w:val="Normal"/>
    <w:link w:val="FootnoteTextChar"/>
    <w:uiPriority w:val="99"/>
    <w:semiHidden/>
    <w:unhideWhenUsed/>
    <w:rsid w:val="0032380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00"/>
    <w:rPr>
      <w:rFonts w:ascii="Verdana" w:eastAsia="SimSun" w:hAnsi="Verdan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238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EE"/>
    <w:rPr>
      <w:rFonts w:ascii="Segoe UI" w:eastAsia="SimSun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30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0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069"/>
    <w:rPr>
      <w:rFonts w:ascii="Verdana" w:eastAsia="SimSun" w:hAnsi="Verdan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069"/>
    <w:rPr>
      <w:rFonts w:ascii="Verdana" w:eastAsia="SimSun" w:hAnsi="Verdana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EA96-DD54-5F4C-8153-9FFF473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2408</Words>
  <Characters>13730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Marle, B.B. van (Bas)</dc:creator>
  <cp:lastModifiedBy>Jane Bayliss</cp:lastModifiedBy>
  <cp:revision>2</cp:revision>
  <dcterms:created xsi:type="dcterms:W3CDTF">2013-12-02T11:37:00Z</dcterms:created>
  <dcterms:modified xsi:type="dcterms:W3CDTF">2013-12-02T11:37:00Z</dcterms:modified>
</cp:coreProperties>
</file>