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C72FA" w14:textId="5D3D72CF" w:rsidR="006D4083" w:rsidRPr="006425EB" w:rsidRDefault="00F034EA" w:rsidP="006D4083">
      <w:pPr>
        <w:pStyle w:val="HeaderEco"/>
        <w:rPr>
          <w:rFonts w:eastAsia="Times New Roman"/>
          <w:sz w:val="28"/>
          <w:szCs w:val="28"/>
          <w:lang w:eastAsia="nl-NL"/>
        </w:rPr>
      </w:pPr>
      <w:bookmarkStart w:id="0" w:name="_GoBack"/>
      <w:bookmarkEnd w:id="0"/>
      <w:r>
        <w:t>Appendix 7.5: Feedback in detail</w:t>
      </w:r>
      <w:r w:rsidR="006D4083">
        <w:rPr>
          <w:rStyle w:val="FootnoteReference"/>
          <w:rFonts w:eastAsia="Times New Roman"/>
          <w:lang w:eastAsia="nl-NL"/>
        </w:rPr>
        <w:footnoteReference w:id="1"/>
      </w:r>
      <w:r w:rsidR="006D4083" w:rsidRPr="006425EB">
        <w:rPr>
          <w:rFonts w:eastAsia="Times New Roman"/>
          <w:sz w:val="28"/>
          <w:szCs w:val="28"/>
          <w:lang w:eastAsia="nl-NL"/>
        </w:rPr>
        <w:br/>
      </w:r>
    </w:p>
    <w:p w14:paraId="5F43CAFE" w14:textId="38FC2F57" w:rsidR="006D4083" w:rsidRPr="009A6F89" w:rsidRDefault="006D4083" w:rsidP="006D4083">
      <w:pPr>
        <w:spacing w:after="200"/>
        <w:jc w:val="both"/>
        <w:rPr>
          <w:rFonts w:ascii="Calibri" w:eastAsia="Times New Roman" w:hAnsi="Calibri" w:cs="Calibri"/>
          <w:bCs/>
          <w:sz w:val="22"/>
          <w:szCs w:val="22"/>
          <w:lang w:eastAsia="nl-NL"/>
        </w:rPr>
      </w:pPr>
      <w:r w:rsidRPr="009A6F89">
        <w:rPr>
          <w:rFonts w:ascii="Calibri" w:eastAsia="Times New Roman" w:hAnsi="Calibri"/>
          <w:sz w:val="22"/>
          <w:szCs w:val="22"/>
          <w:lang w:eastAsia="nl-NL"/>
        </w:rPr>
        <w:t xml:space="preserve">In 2011 the representatives of the </w:t>
      </w:r>
      <w:r w:rsidRPr="009A6F89">
        <w:rPr>
          <w:rFonts w:ascii="Calibri" w:eastAsia="Times New Roman" w:hAnsi="Calibri"/>
          <w:b/>
          <w:sz w:val="22"/>
          <w:szCs w:val="22"/>
          <w:lang w:eastAsia="nl-NL"/>
        </w:rPr>
        <w:t>Austrian</w:t>
      </w:r>
      <w:r w:rsidRPr="009A6F89">
        <w:rPr>
          <w:rFonts w:ascii="Calibri" w:eastAsia="Times New Roman" w:hAnsi="Calibri"/>
          <w:sz w:val="22"/>
          <w:szCs w:val="22"/>
          <w:lang w:eastAsia="nl-NL"/>
        </w:rPr>
        <w:t xml:space="preserve"> FIU took part in 49 national and international training events and lectures</w:t>
      </w:r>
      <w:r w:rsidR="009961D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
      </w:r>
      <w:r w:rsidRPr="009A6F89">
        <w:rPr>
          <w:rFonts w:ascii="Calibri" w:eastAsia="Times New Roman" w:hAnsi="Calibri"/>
          <w:sz w:val="22"/>
          <w:szCs w:val="22"/>
          <w:lang w:eastAsia="nl-NL"/>
        </w:rPr>
        <w:t xml:space="preserve"> </w:t>
      </w:r>
      <w:r w:rsidRPr="009A6F89">
        <w:rPr>
          <w:rFonts w:ascii="Calibri" w:eastAsia="Times New Roman" w:hAnsi="Calibri" w:cs="Calibri"/>
          <w:bCs/>
          <w:sz w:val="22"/>
          <w:szCs w:val="22"/>
          <w:lang w:eastAsia="nl-NL"/>
        </w:rPr>
        <w:t>The Austrian FIU has created a reporting form for STRs which reporting entities can download from their website and are encouraged to use. This website also includes information on the procedures that have to be followed when reporting</w:t>
      </w:r>
      <w:r w:rsidR="009961D1">
        <w:rPr>
          <w:rFonts w:ascii="Calibri" w:eastAsia="Times New Roman" w:hAnsi="Calibri" w:cs="Calibri"/>
          <w:bCs/>
          <w:sz w:val="22"/>
          <w:szCs w:val="22"/>
          <w:lang w:eastAsia="nl-NL"/>
        </w:rPr>
        <w:t>.</w:t>
      </w:r>
      <w:r w:rsidRPr="009A6F89">
        <w:rPr>
          <w:rFonts w:ascii="Calibri" w:eastAsia="Times New Roman" w:hAnsi="Calibri"/>
          <w:bCs/>
          <w:sz w:val="22"/>
          <w:szCs w:val="22"/>
          <w:vertAlign w:val="superscript"/>
          <w:lang w:eastAsia="nl-NL"/>
        </w:rPr>
        <w:footnoteReference w:id="3"/>
      </w:r>
      <w:r w:rsidRPr="009A6F89">
        <w:rPr>
          <w:rFonts w:ascii="Calibri" w:eastAsia="Times New Roman" w:hAnsi="Calibri" w:cs="Calibri"/>
          <w:bCs/>
          <w:sz w:val="22"/>
          <w:szCs w:val="22"/>
          <w:lang w:eastAsia="nl-NL"/>
        </w:rPr>
        <w:t xml:space="preserve"> According to FATF (2009</w:t>
      </w:r>
      <w:r w:rsidR="00F8033C">
        <w:rPr>
          <w:rFonts w:ascii="Calibri" w:eastAsia="Times New Roman" w:hAnsi="Calibri" w:cs="Calibri"/>
          <w:bCs/>
          <w:sz w:val="22"/>
          <w:szCs w:val="22"/>
          <w:lang w:eastAsia="nl-NL"/>
        </w:rPr>
        <w:t>c</w:t>
      </w:r>
      <w:r w:rsidRPr="009A6F89">
        <w:rPr>
          <w:rFonts w:ascii="Calibri" w:eastAsia="Times New Roman" w:hAnsi="Calibri" w:cs="Calibri"/>
          <w:bCs/>
          <w:sz w:val="22"/>
          <w:szCs w:val="22"/>
          <w:lang w:eastAsia="nl-NL"/>
        </w:rPr>
        <w:t>), the reporting entities are given immediate indirect feedback</w:t>
      </w:r>
      <w:r w:rsidR="009961D1">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w:t>
      </w:r>
      <w:r w:rsidR="009961D1">
        <w:rPr>
          <w:rFonts w:ascii="Calibri" w:eastAsia="Times New Roman" w:hAnsi="Calibri" w:cs="Calibri"/>
          <w:bCs/>
          <w:sz w:val="22"/>
          <w:szCs w:val="22"/>
          <w:lang w:eastAsia="nl-NL"/>
        </w:rPr>
        <w:t>since</w:t>
      </w:r>
      <w:r>
        <w:rPr>
          <w:rFonts w:ascii="Calibri" w:eastAsia="Times New Roman" w:hAnsi="Calibri" w:cs="Calibri"/>
          <w:bCs/>
          <w:sz w:val="22"/>
          <w:szCs w:val="22"/>
          <w:lang w:eastAsia="nl-NL"/>
        </w:rPr>
        <w:t>,</w:t>
      </w:r>
      <w:r w:rsidRPr="009A6F89">
        <w:rPr>
          <w:rFonts w:ascii="Calibri" w:eastAsia="Times New Roman" w:hAnsi="Calibri" w:cs="Calibri"/>
          <w:bCs/>
          <w:sz w:val="22"/>
          <w:szCs w:val="22"/>
          <w:lang w:eastAsia="nl-NL"/>
        </w:rPr>
        <w:t xml:space="preserve"> upon receiving an STR, the FIU will contact the reporting entity to ask for more information </w:t>
      </w:r>
      <w:r w:rsidR="009961D1">
        <w:rPr>
          <w:rFonts w:ascii="Calibri" w:eastAsia="Times New Roman" w:hAnsi="Calibri" w:cs="Calibri"/>
          <w:bCs/>
          <w:sz w:val="22"/>
          <w:szCs w:val="22"/>
          <w:lang w:eastAsia="nl-NL"/>
        </w:rPr>
        <w:t xml:space="preserve">as </w:t>
      </w:r>
      <w:r w:rsidRPr="009A6F89">
        <w:rPr>
          <w:rFonts w:ascii="Calibri" w:eastAsia="Times New Roman" w:hAnsi="Calibri" w:cs="Calibri"/>
          <w:bCs/>
          <w:sz w:val="22"/>
          <w:szCs w:val="22"/>
          <w:lang w:eastAsia="nl-NL"/>
        </w:rPr>
        <w:t>required for its investigation</w:t>
      </w:r>
      <w:r w:rsidR="009961D1">
        <w:rPr>
          <w:rFonts w:ascii="Calibri" w:eastAsia="Times New Roman" w:hAnsi="Calibri" w:cs="Calibri"/>
          <w:bCs/>
          <w:sz w:val="22"/>
          <w:szCs w:val="22"/>
          <w:lang w:eastAsia="nl-NL"/>
        </w:rPr>
        <w:t>.</w:t>
      </w:r>
      <w:r w:rsidRPr="009A6F89">
        <w:rPr>
          <w:rFonts w:ascii="Calibri" w:eastAsia="Times New Roman" w:hAnsi="Calibri"/>
          <w:bCs/>
          <w:sz w:val="22"/>
          <w:szCs w:val="22"/>
          <w:vertAlign w:val="superscript"/>
          <w:lang w:eastAsia="nl-NL"/>
        </w:rPr>
        <w:footnoteReference w:id="4"/>
      </w:r>
    </w:p>
    <w:p w14:paraId="46CF5AE0" w14:textId="25AD031C" w:rsidR="006D4083" w:rsidRPr="009A6F89" w:rsidRDefault="006D4083" w:rsidP="006D4083">
      <w:pPr>
        <w:spacing w:after="200"/>
        <w:jc w:val="both"/>
        <w:rPr>
          <w:rFonts w:ascii="Calibri" w:eastAsia="Times New Roman" w:hAnsi="Calibri"/>
          <w:bCs/>
          <w:sz w:val="22"/>
          <w:szCs w:val="22"/>
          <w:lang w:eastAsia="nl-NL"/>
        </w:rPr>
      </w:pPr>
      <w:r w:rsidRPr="009A6F89">
        <w:rPr>
          <w:rFonts w:ascii="Calibri" w:eastAsia="Times New Roman" w:hAnsi="Calibri" w:cs="Calibri"/>
          <w:bCs/>
          <w:sz w:val="22"/>
          <w:szCs w:val="22"/>
          <w:lang w:eastAsia="nl-NL"/>
        </w:rPr>
        <w:t xml:space="preserve">The </w:t>
      </w:r>
      <w:r w:rsidRPr="009A6F89">
        <w:rPr>
          <w:rFonts w:ascii="Calibri" w:eastAsia="Times New Roman" w:hAnsi="Calibri" w:cs="Calibri"/>
          <w:b/>
          <w:bCs/>
          <w:sz w:val="22"/>
          <w:szCs w:val="22"/>
          <w:lang w:eastAsia="nl-NL"/>
        </w:rPr>
        <w:t>Belgian</w:t>
      </w:r>
      <w:r w:rsidRPr="00703BF0">
        <w:rPr>
          <w:rFonts w:ascii="Calibri" w:eastAsia="Times New Roman" w:hAnsi="Calibri" w:cs="Calibri"/>
          <w:bCs/>
          <w:sz w:val="22"/>
          <w:szCs w:val="22"/>
          <w:lang w:eastAsia="nl-NL"/>
        </w:rPr>
        <w:t xml:space="preserve"> FIU</w:t>
      </w:r>
      <w:r w:rsidRPr="009A6F89">
        <w:rPr>
          <w:rFonts w:ascii="Calibri" w:eastAsia="Times New Roman" w:hAnsi="Calibri" w:cs="Calibri"/>
          <w:bCs/>
          <w:sz w:val="22"/>
          <w:szCs w:val="22"/>
          <w:lang w:eastAsia="nl-NL"/>
        </w:rPr>
        <w:t xml:space="preserve"> gives notification of receipt of the STR to the reporting institution. Furthermore</w:t>
      </w:r>
      <w:r>
        <w:rPr>
          <w:rFonts w:ascii="Calibri" w:eastAsia="Times New Roman" w:hAnsi="Calibri" w:cs="Calibri"/>
          <w:bCs/>
          <w:sz w:val="22"/>
          <w:szCs w:val="22"/>
          <w:lang w:eastAsia="nl-NL"/>
        </w:rPr>
        <w:t>,</w:t>
      </w:r>
      <w:r w:rsidR="007F1CB7">
        <w:rPr>
          <w:rFonts w:ascii="Calibri" w:eastAsia="Times New Roman" w:hAnsi="Calibri" w:cs="Calibri"/>
          <w:bCs/>
          <w:sz w:val="22"/>
          <w:szCs w:val="22"/>
          <w:lang w:eastAsia="nl-NL"/>
        </w:rPr>
        <w:t xml:space="preserve"> </w:t>
      </w:r>
      <w:r w:rsidRPr="009A6F89">
        <w:rPr>
          <w:rFonts w:ascii="Calibri" w:eastAsia="Times New Roman" w:hAnsi="Calibri" w:cs="Calibri"/>
          <w:bCs/>
          <w:sz w:val="22"/>
          <w:szCs w:val="22"/>
          <w:lang w:eastAsia="nl-NL"/>
        </w:rPr>
        <w:t xml:space="preserve">it will inform the reporting institution if it has found no suspicion and the case is archived in the FIU database. The FIU does not provide feedback to a reporting institution that it has forwarded a case to the public prosecutor. It only does so when the public prosecutor immediately decides to terminate the case. Then the reporting institution will be provided </w:t>
      </w:r>
      <w:r>
        <w:rPr>
          <w:rFonts w:ascii="Calibri" w:eastAsia="Times New Roman" w:hAnsi="Calibri" w:cs="Calibri"/>
          <w:bCs/>
          <w:sz w:val="22"/>
          <w:szCs w:val="22"/>
          <w:lang w:eastAsia="nl-NL"/>
        </w:rPr>
        <w:t xml:space="preserve">with </w:t>
      </w:r>
      <w:r w:rsidRPr="009A6F89">
        <w:rPr>
          <w:rFonts w:ascii="Calibri" w:eastAsia="Times New Roman" w:hAnsi="Calibri" w:cs="Calibri"/>
          <w:bCs/>
          <w:sz w:val="22"/>
          <w:szCs w:val="22"/>
          <w:lang w:eastAsia="nl-NL"/>
        </w:rPr>
        <w:t xml:space="preserve">this information. When there is a conviction, the case will be brought to the attention of </w:t>
      </w:r>
      <w:r w:rsidR="007F1CB7">
        <w:rPr>
          <w:rFonts w:ascii="Calibri" w:eastAsia="Times New Roman" w:hAnsi="Calibri" w:cs="Calibri"/>
          <w:bCs/>
          <w:sz w:val="22"/>
          <w:szCs w:val="22"/>
          <w:lang w:eastAsia="nl-NL"/>
        </w:rPr>
        <w:t xml:space="preserve">the </w:t>
      </w:r>
      <w:r w:rsidRPr="009A6F89">
        <w:rPr>
          <w:rFonts w:ascii="Calibri" w:eastAsia="Times New Roman" w:hAnsi="Calibri" w:cs="Calibri"/>
          <w:bCs/>
          <w:sz w:val="22"/>
          <w:szCs w:val="22"/>
          <w:lang w:eastAsia="nl-NL"/>
        </w:rPr>
        <w:t xml:space="preserve">reporting institution as well. </w:t>
      </w:r>
      <w:r w:rsidRPr="009A6F89">
        <w:rPr>
          <w:rFonts w:ascii="Calibri" w:eastAsia="Times New Roman" w:hAnsi="Calibri"/>
          <w:bCs/>
          <w:sz w:val="22"/>
          <w:szCs w:val="22"/>
          <w:lang w:eastAsia="nl-NL"/>
        </w:rPr>
        <w:t xml:space="preserve">According to the Belgian representative, reporting entities </w:t>
      </w:r>
      <w:r w:rsidR="007F1CB7" w:rsidRPr="009A6F89">
        <w:rPr>
          <w:rFonts w:ascii="Calibri" w:eastAsia="Times New Roman" w:hAnsi="Calibri"/>
          <w:bCs/>
          <w:sz w:val="22"/>
          <w:szCs w:val="22"/>
          <w:lang w:eastAsia="nl-NL"/>
        </w:rPr>
        <w:t>organi</w:t>
      </w:r>
      <w:r w:rsidR="007F1CB7">
        <w:rPr>
          <w:rFonts w:ascii="Calibri" w:eastAsia="Times New Roman" w:hAnsi="Calibri"/>
          <w:bCs/>
          <w:sz w:val="22"/>
          <w:szCs w:val="22"/>
          <w:lang w:eastAsia="nl-NL"/>
        </w:rPr>
        <w:t>z</w:t>
      </w:r>
      <w:r w:rsidR="007F1CB7" w:rsidRPr="009A6F89">
        <w:rPr>
          <w:rFonts w:ascii="Calibri" w:eastAsia="Times New Roman" w:hAnsi="Calibri"/>
          <w:bCs/>
          <w:sz w:val="22"/>
          <w:szCs w:val="22"/>
          <w:lang w:eastAsia="nl-NL"/>
        </w:rPr>
        <w:t xml:space="preserve">e </w:t>
      </w:r>
      <w:r w:rsidRPr="009A6F89">
        <w:rPr>
          <w:rFonts w:ascii="Calibri" w:eastAsia="Times New Roman" w:hAnsi="Calibri"/>
          <w:bCs/>
          <w:sz w:val="22"/>
          <w:szCs w:val="22"/>
          <w:lang w:eastAsia="nl-NL"/>
        </w:rPr>
        <w:t xml:space="preserve">training themselves. In Belgium, there are private companies that offer training sessions and the FIU representatives participate in this kind of training. Furthermore, the FIU </w:t>
      </w:r>
      <w:r w:rsidR="007F1CB7" w:rsidRPr="009A6F89">
        <w:rPr>
          <w:rFonts w:ascii="Calibri" w:eastAsia="Times New Roman" w:hAnsi="Calibri"/>
          <w:bCs/>
          <w:sz w:val="22"/>
          <w:szCs w:val="22"/>
          <w:lang w:eastAsia="nl-NL"/>
        </w:rPr>
        <w:t>organi</w:t>
      </w:r>
      <w:r w:rsidR="007F1CB7">
        <w:rPr>
          <w:rFonts w:ascii="Calibri" w:eastAsia="Times New Roman" w:hAnsi="Calibri"/>
          <w:bCs/>
          <w:sz w:val="22"/>
          <w:szCs w:val="22"/>
          <w:lang w:eastAsia="nl-NL"/>
        </w:rPr>
        <w:t>z</w:t>
      </w:r>
      <w:r w:rsidR="007F1CB7" w:rsidRPr="009A6F89">
        <w:rPr>
          <w:rFonts w:ascii="Calibri" w:eastAsia="Times New Roman" w:hAnsi="Calibri"/>
          <w:bCs/>
          <w:sz w:val="22"/>
          <w:szCs w:val="22"/>
          <w:lang w:eastAsia="nl-NL"/>
        </w:rPr>
        <w:t xml:space="preserve">es </w:t>
      </w:r>
      <w:r w:rsidRPr="009A6F89">
        <w:rPr>
          <w:rFonts w:ascii="Calibri" w:eastAsia="Times New Roman" w:hAnsi="Calibri"/>
          <w:bCs/>
          <w:sz w:val="22"/>
          <w:szCs w:val="22"/>
          <w:lang w:eastAsia="nl-NL"/>
        </w:rPr>
        <w:t xml:space="preserve">a meeting every year in which data from the annual report are presented. The FIU also participates in sessions </w:t>
      </w:r>
      <w:r w:rsidR="007F1CB7" w:rsidRPr="009A6F89">
        <w:rPr>
          <w:rFonts w:ascii="Calibri" w:eastAsia="Times New Roman" w:hAnsi="Calibri"/>
          <w:bCs/>
          <w:sz w:val="22"/>
          <w:szCs w:val="22"/>
          <w:lang w:eastAsia="nl-NL"/>
        </w:rPr>
        <w:t>organi</w:t>
      </w:r>
      <w:r w:rsidR="007F1CB7">
        <w:rPr>
          <w:rFonts w:ascii="Calibri" w:eastAsia="Times New Roman" w:hAnsi="Calibri"/>
          <w:bCs/>
          <w:sz w:val="22"/>
          <w:szCs w:val="22"/>
          <w:lang w:eastAsia="nl-NL"/>
        </w:rPr>
        <w:t>z</w:t>
      </w:r>
      <w:r w:rsidR="007F1CB7" w:rsidRPr="009A6F89">
        <w:rPr>
          <w:rFonts w:ascii="Calibri" w:eastAsia="Times New Roman" w:hAnsi="Calibri"/>
          <w:bCs/>
          <w:sz w:val="22"/>
          <w:szCs w:val="22"/>
          <w:lang w:eastAsia="nl-NL"/>
        </w:rPr>
        <w:t xml:space="preserve">ed </w:t>
      </w:r>
      <w:r w:rsidRPr="009A6F89">
        <w:rPr>
          <w:rFonts w:ascii="Calibri" w:eastAsia="Times New Roman" w:hAnsi="Calibri"/>
          <w:bCs/>
          <w:sz w:val="22"/>
          <w:szCs w:val="22"/>
          <w:lang w:eastAsia="nl-NL"/>
        </w:rPr>
        <w:t xml:space="preserve">by professional associations (e.g. in 2011 a session </w:t>
      </w:r>
      <w:r w:rsidR="007F1CB7" w:rsidRPr="009A6F89">
        <w:rPr>
          <w:rFonts w:ascii="Calibri" w:eastAsia="Times New Roman" w:hAnsi="Calibri"/>
          <w:bCs/>
          <w:sz w:val="22"/>
          <w:szCs w:val="22"/>
          <w:lang w:eastAsia="nl-NL"/>
        </w:rPr>
        <w:t>organi</w:t>
      </w:r>
      <w:r w:rsidR="007F1CB7">
        <w:rPr>
          <w:rFonts w:ascii="Calibri" w:eastAsia="Times New Roman" w:hAnsi="Calibri"/>
          <w:bCs/>
          <w:sz w:val="22"/>
          <w:szCs w:val="22"/>
          <w:lang w:eastAsia="nl-NL"/>
        </w:rPr>
        <w:t>z</w:t>
      </w:r>
      <w:r w:rsidR="007F1CB7" w:rsidRPr="009A6F89">
        <w:rPr>
          <w:rFonts w:ascii="Calibri" w:eastAsia="Times New Roman" w:hAnsi="Calibri"/>
          <w:bCs/>
          <w:sz w:val="22"/>
          <w:szCs w:val="22"/>
          <w:lang w:eastAsia="nl-NL"/>
        </w:rPr>
        <w:t xml:space="preserve">ed </w:t>
      </w:r>
      <w:r w:rsidRPr="009A6F89">
        <w:rPr>
          <w:rFonts w:ascii="Calibri" w:eastAsia="Times New Roman" w:hAnsi="Calibri"/>
          <w:bCs/>
          <w:sz w:val="22"/>
          <w:szCs w:val="22"/>
          <w:lang w:eastAsia="nl-NL"/>
        </w:rPr>
        <w:t xml:space="preserve">by the Order of Notaries). </w:t>
      </w:r>
    </w:p>
    <w:p w14:paraId="1BDE0CBB" w14:textId="0157AC72"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w:t>
      </w:r>
      <w:r w:rsidRPr="009A6F89">
        <w:rPr>
          <w:rFonts w:ascii="Calibri" w:eastAsia="Times New Roman" w:hAnsi="Calibri"/>
          <w:b/>
          <w:sz w:val="22"/>
          <w:szCs w:val="22"/>
          <w:lang w:eastAsia="nl-NL"/>
        </w:rPr>
        <w:t>Bulgaria</w:t>
      </w:r>
      <w:r w:rsidRPr="009A6F89">
        <w:rPr>
          <w:rFonts w:ascii="Calibri" w:eastAsia="Times New Roman" w:hAnsi="Calibri"/>
          <w:sz w:val="22"/>
          <w:szCs w:val="22"/>
          <w:lang w:eastAsia="nl-NL"/>
        </w:rPr>
        <w:t xml:space="preserve">, according to </w:t>
      </w:r>
      <w:r w:rsidR="007F1CB7">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national representative, the FIU meets with the reporting entities at least once a year. </w:t>
      </w:r>
      <w:r>
        <w:rPr>
          <w:rFonts w:ascii="Calibri" w:eastAsia="Times New Roman" w:hAnsi="Calibri"/>
          <w:sz w:val="22"/>
          <w:szCs w:val="22"/>
          <w:lang w:eastAsia="nl-NL"/>
        </w:rPr>
        <w:t>Further, the FIU</w:t>
      </w:r>
      <w:r w:rsidRPr="009A6F89">
        <w:rPr>
          <w:rFonts w:ascii="Calibri" w:eastAsia="Times New Roman" w:hAnsi="Calibri"/>
          <w:sz w:val="22"/>
          <w:szCs w:val="22"/>
          <w:lang w:eastAsia="nl-NL"/>
        </w:rPr>
        <w:t xml:space="preserve"> states that it provides the reporting entities with an acknowledgement of receipt </w:t>
      </w:r>
      <w:r w:rsidR="007F1CB7">
        <w:rPr>
          <w:rFonts w:ascii="Calibri" w:eastAsia="Times New Roman" w:hAnsi="Calibri"/>
          <w:sz w:val="22"/>
          <w:szCs w:val="22"/>
          <w:lang w:eastAsia="nl-NL"/>
        </w:rPr>
        <w:t>for</w:t>
      </w:r>
      <w:r w:rsidR="007F1CB7"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each STR and that it is at the discretion of the Director of the FIU to offer ad</w:t>
      </w:r>
      <w:r w:rsidR="007F1CB7">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hoc feedback, if it considers this will improve the quality of the reports. </w:t>
      </w:r>
      <w:r>
        <w:rPr>
          <w:rFonts w:ascii="Calibri" w:eastAsia="Times New Roman" w:hAnsi="Calibri"/>
          <w:sz w:val="22"/>
          <w:szCs w:val="22"/>
          <w:lang w:eastAsia="nl-NL"/>
        </w:rPr>
        <w:t xml:space="preserve">However, the FIU considers </w:t>
      </w:r>
      <w:r w:rsidRPr="009A6F89">
        <w:rPr>
          <w:rFonts w:ascii="Calibri" w:eastAsia="Times New Roman" w:hAnsi="Calibri"/>
          <w:sz w:val="22"/>
          <w:szCs w:val="22"/>
          <w:lang w:eastAsia="nl-NL"/>
        </w:rPr>
        <w:t xml:space="preserve">that feedback is given on a case-by-case basis </w:t>
      </w:r>
      <w:r>
        <w:rPr>
          <w:rFonts w:ascii="Calibri" w:eastAsia="Times New Roman" w:hAnsi="Calibri"/>
          <w:sz w:val="22"/>
          <w:szCs w:val="22"/>
          <w:lang w:eastAsia="nl-NL"/>
        </w:rPr>
        <w:t>on a regular basis</w:t>
      </w:r>
      <w:r w:rsidRPr="009A6F89">
        <w:rPr>
          <w:rFonts w:ascii="Calibri" w:eastAsia="Times New Roman" w:hAnsi="Calibri"/>
          <w:sz w:val="22"/>
          <w:szCs w:val="22"/>
          <w:lang w:eastAsia="nl-NL"/>
        </w:rPr>
        <w:t xml:space="preserve">. </w:t>
      </w:r>
      <w:r>
        <w:rPr>
          <w:rFonts w:ascii="Calibri" w:eastAsia="Times New Roman" w:hAnsi="Calibri"/>
          <w:sz w:val="22"/>
          <w:szCs w:val="22"/>
          <w:lang w:eastAsia="nl-NL"/>
        </w:rPr>
        <w:t>The FIU</w:t>
      </w:r>
      <w:r w:rsidRPr="009A6F89">
        <w:rPr>
          <w:rFonts w:ascii="Calibri" w:eastAsia="Times New Roman" w:hAnsi="Calibri"/>
          <w:sz w:val="22"/>
          <w:szCs w:val="22"/>
          <w:lang w:eastAsia="nl-NL"/>
        </w:rPr>
        <w:t xml:space="preserve"> published one report in English and Bulgarian in 2011 which it made available on its internet page. </w:t>
      </w:r>
      <w:r>
        <w:rPr>
          <w:rFonts w:ascii="Calibri" w:eastAsia="Times New Roman" w:hAnsi="Calibri"/>
          <w:sz w:val="22"/>
          <w:szCs w:val="22"/>
          <w:lang w:eastAsia="nl-NL"/>
        </w:rPr>
        <w:t xml:space="preserve">For the first time, this included money laundering and terrorist financing typologies, and information on trends and activities. </w:t>
      </w:r>
    </w:p>
    <w:p w14:paraId="309B351B" w14:textId="10EF7CEC"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After receiving the SAR</w:t>
      </w:r>
      <w:r w:rsidR="00B13A42">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w:t>
      </w:r>
      <w:r w:rsidRPr="009A6F89">
        <w:rPr>
          <w:rFonts w:ascii="Calibri" w:eastAsia="Times New Roman" w:hAnsi="Calibri"/>
          <w:b/>
          <w:sz w:val="22"/>
          <w:szCs w:val="22"/>
          <w:lang w:eastAsia="nl-NL"/>
        </w:rPr>
        <w:t>Cypriot</w:t>
      </w:r>
      <w:r w:rsidRPr="009A6F89">
        <w:rPr>
          <w:rFonts w:ascii="Calibri" w:eastAsia="Times New Roman" w:hAnsi="Calibri"/>
          <w:sz w:val="22"/>
          <w:szCs w:val="22"/>
          <w:lang w:eastAsia="nl-NL"/>
        </w:rPr>
        <w:t xml:space="preserve"> FIU issues an acknowledgement of receipt to the bank. This is part of the standard procedure and is done immediately. In this preliminary feedback to the reporting entities, MOKAS mentions who will investigate the case. According to the Cypriot representative, the banks sometimes require guidance on how to treat a bank account or a client based on the information</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transaction. The FIU is obliged to give such directions to the requesting bank. The FIU also informs the banks upon the termination of </w:t>
      </w:r>
      <w:r w:rsidR="00B13A42">
        <w:rPr>
          <w:rFonts w:ascii="Calibri" w:eastAsia="Times New Roman" w:hAnsi="Calibri"/>
          <w:sz w:val="22"/>
          <w:szCs w:val="22"/>
          <w:lang w:eastAsia="nl-NL"/>
        </w:rPr>
        <w:t>an</w:t>
      </w:r>
      <w:r w:rsidR="00B13A42"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investigation. Feedback is also given to the banks in the course of an investigation. Moreover, MOKAS can provide reporting entities with typologies regarding trends which came out of the investigation</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w:t>
      </w:r>
      <w:r w:rsidR="00B13A42">
        <w:rPr>
          <w:rFonts w:ascii="Calibri" w:eastAsia="Times New Roman" w:hAnsi="Calibri"/>
          <w:sz w:val="22"/>
          <w:szCs w:val="22"/>
          <w:lang w:eastAsia="nl-NL"/>
        </w:rPr>
        <w:t>which</w:t>
      </w:r>
      <w:r w:rsidR="00B13A42"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can help the reporting entities improve their detection. The FIU thinks that it is mostly the financial sector that could be threatened by ML</w:t>
      </w:r>
      <w:r>
        <w:rPr>
          <w:rFonts w:ascii="Calibri" w:eastAsia="Times New Roman" w:hAnsi="Calibri"/>
          <w:sz w:val="22"/>
          <w:szCs w:val="22"/>
          <w:lang w:eastAsia="nl-NL"/>
        </w:rPr>
        <w:t>, which</w:t>
      </w:r>
      <w:r w:rsidRPr="009A6F89">
        <w:rPr>
          <w:rFonts w:ascii="Calibri" w:eastAsia="Times New Roman" w:hAnsi="Calibri"/>
          <w:sz w:val="22"/>
          <w:szCs w:val="22"/>
          <w:lang w:eastAsia="nl-NL"/>
        </w:rPr>
        <w:t xml:space="preserve"> </w:t>
      </w:r>
      <w:r w:rsidR="00B13A42">
        <w:rPr>
          <w:rFonts w:ascii="Calibri" w:eastAsia="Times New Roman" w:hAnsi="Calibri"/>
          <w:sz w:val="22"/>
          <w:szCs w:val="22"/>
          <w:lang w:eastAsia="nl-NL"/>
        </w:rPr>
        <w:t>may</w:t>
      </w:r>
      <w:r w:rsidR="00B13A42"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explain why the FIU is so close to the financial institutions.</w:t>
      </w:r>
      <w:r w:rsidR="0000585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According to the Cypriot representative, MOKAS dedicates </w:t>
      </w:r>
      <w:r>
        <w:rPr>
          <w:rFonts w:ascii="Calibri" w:eastAsia="Times New Roman" w:hAnsi="Calibri"/>
          <w:sz w:val="22"/>
          <w:szCs w:val="22"/>
          <w:lang w:eastAsia="nl-NL"/>
        </w:rPr>
        <w:t>consider</w:t>
      </w:r>
      <w:r w:rsidRPr="009A6F89">
        <w:rPr>
          <w:rFonts w:ascii="Calibri" w:eastAsia="Times New Roman" w:hAnsi="Calibri"/>
          <w:sz w:val="22"/>
          <w:szCs w:val="22"/>
          <w:lang w:eastAsia="nl-NL"/>
        </w:rPr>
        <w:t>able effort</w:t>
      </w:r>
      <w:r>
        <w:rPr>
          <w:rFonts w:ascii="Calibri" w:eastAsia="Times New Roman" w:hAnsi="Calibri"/>
          <w:sz w:val="22"/>
          <w:szCs w:val="22"/>
          <w:lang w:eastAsia="nl-NL"/>
        </w:rPr>
        <w:t xml:space="preserve">s to </w:t>
      </w:r>
      <w:r w:rsidRPr="009A6F89">
        <w:rPr>
          <w:rFonts w:ascii="Calibri" w:eastAsia="Times New Roman" w:hAnsi="Calibri"/>
          <w:sz w:val="22"/>
          <w:szCs w:val="22"/>
          <w:lang w:eastAsia="nl-NL"/>
        </w:rPr>
        <w:t>providing training to the reporting entities</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between 2008 and 2009 offer</w:t>
      </w:r>
      <w:r>
        <w:rPr>
          <w:rFonts w:ascii="Calibri" w:eastAsia="Times New Roman" w:hAnsi="Calibri"/>
          <w:sz w:val="22"/>
          <w:szCs w:val="22"/>
          <w:lang w:eastAsia="nl-NL"/>
        </w:rPr>
        <w:t>ing</w:t>
      </w:r>
      <w:r w:rsidRPr="009A6F89">
        <w:rPr>
          <w:rFonts w:ascii="Calibri" w:eastAsia="Times New Roman" w:hAnsi="Calibri"/>
          <w:sz w:val="22"/>
          <w:szCs w:val="22"/>
          <w:lang w:eastAsia="nl-NL"/>
        </w:rPr>
        <w:t xml:space="preserve"> 44 training</w:t>
      </w:r>
      <w:r>
        <w:rPr>
          <w:rFonts w:ascii="Calibri" w:eastAsia="Times New Roman" w:hAnsi="Calibri"/>
          <w:sz w:val="22"/>
          <w:szCs w:val="22"/>
          <w:lang w:eastAsia="nl-NL"/>
        </w:rPr>
        <w:t xml:space="preserve"> session</w:t>
      </w:r>
      <w:r w:rsidRPr="009A6F89">
        <w:rPr>
          <w:rFonts w:ascii="Calibri" w:eastAsia="Times New Roman" w:hAnsi="Calibri"/>
          <w:sz w:val="22"/>
          <w:szCs w:val="22"/>
          <w:lang w:eastAsia="nl-NL"/>
        </w:rPr>
        <w:t xml:space="preserve">s </w:t>
      </w:r>
      <w:r w:rsidR="00B13A42">
        <w:rPr>
          <w:rFonts w:ascii="Calibri" w:eastAsia="Times New Roman" w:hAnsi="Calibri"/>
          <w:sz w:val="22"/>
          <w:szCs w:val="22"/>
          <w:lang w:eastAsia="nl-NL"/>
        </w:rPr>
        <w:t>at</w:t>
      </w:r>
      <w:r w:rsidRPr="009A6F89">
        <w:rPr>
          <w:rFonts w:ascii="Calibri" w:eastAsia="Times New Roman" w:hAnsi="Calibri"/>
          <w:sz w:val="22"/>
          <w:szCs w:val="22"/>
          <w:lang w:eastAsia="nl-NL"/>
        </w:rPr>
        <w:t xml:space="preserve"> </w:t>
      </w:r>
      <w:r w:rsidR="00B13A42">
        <w:rPr>
          <w:rFonts w:ascii="Calibri" w:eastAsia="Times New Roman" w:hAnsi="Calibri"/>
          <w:sz w:val="22"/>
          <w:szCs w:val="22"/>
          <w:lang w:eastAsia="nl-NL"/>
        </w:rPr>
        <w:t>both</w:t>
      </w:r>
      <w:r w:rsidRPr="009A6F89">
        <w:rPr>
          <w:rFonts w:ascii="Calibri" w:eastAsia="Times New Roman" w:hAnsi="Calibri"/>
          <w:sz w:val="22"/>
          <w:szCs w:val="22"/>
          <w:lang w:eastAsia="nl-NL"/>
        </w:rPr>
        <w:t xml:space="preserve"> national and international level</w:t>
      </w:r>
      <w:r w:rsidR="00B13A42">
        <w:rPr>
          <w:rFonts w:ascii="Calibri" w:eastAsia="Times New Roman" w:hAnsi="Calibri"/>
          <w:sz w:val="22"/>
          <w:szCs w:val="22"/>
          <w:lang w:eastAsia="nl-NL"/>
        </w:rPr>
        <w:t>.</w:t>
      </w:r>
    </w:p>
    <w:p w14:paraId="4D51181C" w14:textId="3F2329E8" w:rsidR="006D4083" w:rsidRPr="009A6F89" w:rsidRDefault="006D4083" w:rsidP="006D4083">
      <w:pPr>
        <w:spacing w:after="200"/>
        <w:jc w:val="both"/>
        <w:rPr>
          <w:rFonts w:ascii="Calibri" w:hAnsi="Calibri"/>
          <w:sz w:val="22"/>
          <w:szCs w:val="22"/>
          <w:lang w:eastAsia="nl-NL"/>
        </w:rPr>
      </w:pPr>
      <w:r w:rsidRPr="009A6F89">
        <w:rPr>
          <w:rFonts w:ascii="Calibri" w:hAnsi="Calibri"/>
          <w:sz w:val="22"/>
          <w:szCs w:val="22"/>
          <w:lang w:eastAsia="nl-NL"/>
        </w:rPr>
        <w:t xml:space="preserve">According to </w:t>
      </w:r>
      <w:r w:rsidR="00DD5A65" w:rsidRPr="009A6F89">
        <w:rPr>
          <w:rFonts w:ascii="Calibri" w:hAnsi="Calibri"/>
          <w:sz w:val="22"/>
          <w:szCs w:val="22"/>
          <w:lang w:eastAsia="nl-NL"/>
        </w:rPr>
        <w:t>MONEYVAL</w:t>
      </w:r>
      <w:r w:rsidRPr="009A6F89">
        <w:rPr>
          <w:rFonts w:ascii="Calibri" w:hAnsi="Calibri"/>
          <w:sz w:val="22"/>
          <w:szCs w:val="22"/>
          <w:lang w:eastAsia="nl-NL"/>
        </w:rPr>
        <w:t xml:space="preserve"> (2011</w:t>
      </w:r>
      <w:r w:rsidR="00A30667">
        <w:rPr>
          <w:rFonts w:ascii="Calibri" w:hAnsi="Calibri"/>
          <w:sz w:val="22"/>
          <w:szCs w:val="22"/>
          <w:lang w:eastAsia="nl-NL"/>
        </w:rPr>
        <w:t>c</w:t>
      </w:r>
      <w:r w:rsidRPr="009A6F89">
        <w:rPr>
          <w:rFonts w:ascii="Calibri" w:hAnsi="Calibri"/>
          <w:sz w:val="22"/>
          <w:szCs w:val="22"/>
          <w:lang w:eastAsia="nl-NL"/>
        </w:rPr>
        <w:t xml:space="preserve">), in the </w:t>
      </w:r>
      <w:r w:rsidRPr="009A6F89">
        <w:rPr>
          <w:rFonts w:ascii="Calibri" w:hAnsi="Calibri"/>
          <w:b/>
          <w:sz w:val="22"/>
          <w:szCs w:val="22"/>
          <w:lang w:eastAsia="nl-NL"/>
        </w:rPr>
        <w:t>Czech Republic,</w:t>
      </w:r>
      <w:r w:rsidRPr="009A6F89">
        <w:rPr>
          <w:rFonts w:ascii="Calibri" w:hAnsi="Calibri"/>
          <w:sz w:val="22"/>
          <w:szCs w:val="22"/>
          <w:lang w:eastAsia="nl-NL"/>
        </w:rPr>
        <w:t xml:space="preserve"> the new AML/CFT Law does not require the </w:t>
      </w:r>
      <w:r w:rsidR="009439CC" w:rsidRPr="007308A8">
        <w:rPr>
          <w:rFonts w:ascii="Calibri" w:eastAsia="Calibri" w:hAnsi="Calibri"/>
          <w:sz w:val="22"/>
          <w:szCs w:val="22"/>
        </w:rPr>
        <w:t>Financial Analytical Unit</w:t>
      </w:r>
      <w:r w:rsidR="009439CC" w:rsidRPr="009A6F89">
        <w:rPr>
          <w:rFonts w:ascii="Calibri" w:hAnsi="Calibri"/>
          <w:sz w:val="22"/>
          <w:szCs w:val="22"/>
          <w:lang w:eastAsia="nl-NL"/>
        </w:rPr>
        <w:t xml:space="preserve"> </w:t>
      </w:r>
      <w:r w:rsidR="009439CC">
        <w:rPr>
          <w:rFonts w:ascii="Calibri" w:hAnsi="Calibri"/>
          <w:sz w:val="22"/>
          <w:szCs w:val="22"/>
          <w:lang w:eastAsia="nl-NL"/>
        </w:rPr>
        <w:t>(</w:t>
      </w:r>
      <w:r w:rsidRPr="009A6F89">
        <w:rPr>
          <w:rFonts w:ascii="Calibri" w:hAnsi="Calibri"/>
          <w:sz w:val="22"/>
          <w:szCs w:val="22"/>
          <w:lang w:eastAsia="nl-NL"/>
        </w:rPr>
        <w:t>FAU</w:t>
      </w:r>
      <w:r w:rsidR="009439CC">
        <w:rPr>
          <w:rFonts w:ascii="Calibri" w:hAnsi="Calibri"/>
          <w:sz w:val="22"/>
          <w:szCs w:val="22"/>
          <w:lang w:eastAsia="nl-NL"/>
        </w:rPr>
        <w:t>)</w:t>
      </w:r>
      <w:r w:rsidRPr="009A6F89">
        <w:rPr>
          <w:rFonts w:ascii="Calibri" w:hAnsi="Calibri"/>
          <w:sz w:val="22"/>
          <w:szCs w:val="22"/>
          <w:lang w:eastAsia="nl-NL"/>
        </w:rPr>
        <w:t xml:space="preserve"> to provide the reporting entities with specific guidance on how to </w:t>
      </w:r>
      <w:r w:rsidRPr="009A6F89">
        <w:rPr>
          <w:rFonts w:ascii="Calibri" w:hAnsi="Calibri"/>
          <w:sz w:val="22"/>
          <w:szCs w:val="22"/>
          <w:lang w:eastAsia="nl-NL"/>
        </w:rPr>
        <w:lastRenderedPageBreak/>
        <w:t>report. Nevertheless, the F</w:t>
      </w:r>
      <w:r>
        <w:rPr>
          <w:rFonts w:ascii="Calibri" w:hAnsi="Calibri"/>
          <w:sz w:val="22"/>
          <w:szCs w:val="22"/>
          <w:lang w:eastAsia="nl-NL"/>
        </w:rPr>
        <w:t>I</w:t>
      </w:r>
      <w:r w:rsidRPr="009A6F89">
        <w:rPr>
          <w:rFonts w:ascii="Calibri" w:hAnsi="Calibri"/>
          <w:sz w:val="22"/>
          <w:szCs w:val="22"/>
          <w:lang w:eastAsia="nl-NL"/>
        </w:rPr>
        <w:t>U has issued guidelines and has posted it on their website. The F</w:t>
      </w:r>
      <w:r>
        <w:rPr>
          <w:rFonts w:ascii="Calibri" w:hAnsi="Calibri"/>
          <w:sz w:val="22"/>
          <w:szCs w:val="22"/>
          <w:lang w:eastAsia="nl-NL"/>
        </w:rPr>
        <w:t>I</w:t>
      </w:r>
      <w:r w:rsidRPr="009A6F89">
        <w:rPr>
          <w:rFonts w:ascii="Calibri" w:hAnsi="Calibri"/>
          <w:sz w:val="22"/>
          <w:szCs w:val="22"/>
          <w:lang w:eastAsia="nl-NL"/>
        </w:rPr>
        <w:t xml:space="preserve">U has a very comprehensive site with guidelines for the reporting entities relating to identification issues, credit cards, PEPs, CDD, reporting obligations, suspension of a transaction, confidentiality, </w:t>
      </w:r>
      <w:r w:rsidR="0071734C" w:rsidRPr="009A6F89">
        <w:rPr>
          <w:rFonts w:ascii="Calibri" w:hAnsi="Calibri"/>
          <w:sz w:val="22"/>
          <w:szCs w:val="22"/>
          <w:lang w:eastAsia="nl-NL"/>
        </w:rPr>
        <w:t>third</w:t>
      </w:r>
      <w:r w:rsidR="0071734C">
        <w:rPr>
          <w:rFonts w:ascii="Calibri" w:hAnsi="Calibri"/>
          <w:sz w:val="22"/>
          <w:szCs w:val="22"/>
          <w:lang w:eastAsia="nl-NL"/>
        </w:rPr>
        <w:t>-</w:t>
      </w:r>
      <w:r w:rsidRPr="009A6F89">
        <w:rPr>
          <w:rFonts w:ascii="Calibri" w:hAnsi="Calibri"/>
          <w:sz w:val="22"/>
          <w:szCs w:val="22"/>
          <w:lang w:eastAsia="nl-NL"/>
        </w:rPr>
        <w:t xml:space="preserve">country equivalence, exemptions, standard reporting forms, </w:t>
      </w:r>
      <w:r>
        <w:rPr>
          <w:rFonts w:ascii="Calibri" w:hAnsi="Calibri"/>
          <w:sz w:val="22"/>
          <w:szCs w:val="22"/>
          <w:lang w:eastAsia="nl-NL"/>
        </w:rPr>
        <w:t xml:space="preserve">and </w:t>
      </w:r>
      <w:r w:rsidRPr="009A6F89">
        <w:rPr>
          <w:rFonts w:ascii="Calibri" w:hAnsi="Calibri"/>
          <w:sz w:val="22"/>
          <w:szCs w:val="22"/>
          <w:lang w:eastAsia="nl-NL"/>
        </w:rPr>
        <w:t>relevant legislation. The Czech representatives argued that the F</w:t>
      </w:r>
      <w:r>
        <w:rPr>
          <w:rFonts w:ascii="Calibri" w:hAnsi="Calibri"/>
          <w:sz w:val="22"/>
          <w:szCs w:val="22"/>
          <w:lang w:eastAsia="nl-NL"/>
        </w:rPr>
        <w:t>I</w:t>
      </w:r>
      <w:r w:rsidRPr="009A6F89">
        <w:rPr>
          <w:rFonts w:ascii="Calibri" w:hAnsi="Calibri"/>
          <w:sz w:val="22"/>
          <w:szCs w:val="22"/>
          <w:lang w:eastAsia="nl-NL"/>
        </w:rPr>
        <w:t>U provides regular training</w:t>
      </w:r>
      <w:r>
        <w:rPr>
          <w:rFonts w:ascii="Calibri" w:hAnsi="Calibri"/>
          <w:sz w:val="22"/>
          <w:szCs w:val="22"/>
          <w:lang w:eastAsia="nl-NL"/>
        </w:rPr>
        <w:t xml:space="preserve"> session</w:t>
      </w:r>
      <w:r w:rsidRPr="009A6F89">
        <w:rPr>
          <w:rFonts w:ascii="Calibri" w:hAnsi="Calibri"/>
          <w:sz w:val="22"/>
          <w:szCs w:val="22"/>
          <w:lang w:eastAsia="nl-NL"/>
        </w:rPr>
        <w:t xml:space="preserve">s, conferences and seminars to the obliged persons. The numbers for 2011 </w:t>
      </w:r>
      <w:r w:rsidR="0071734C" w:rsidRPr="009A6F89">
        <w:rPr>
          <w:rFonts w:ascii="Calibri" w:hAnsi="Calibri"/>
          <w:sz w:val="22"/>
          <w:szCs w:val="22"/>
          <w:lang w:eastAsia="nl-NL"/>
        </w:rPr>
        <w:t>c</w:t>
      </w:r>
      <w:r w:rsidR="0071734C">
        <w:rPr>
          <w:rFonts w:ascii="Calibri" w:hAnsi="Calibri"/>
          <w:sz w:val="22"/>
          <w:szCs w:val="22"/>
          <w:lang w:eastAsia="nl-NL"/>
        </w:rPr>
        <w:t>an</w:t>
      </w:r>
      <w:r w:rsidRPr="009A6F89">
        <w:rPr>
          <w:rFonts w:ascii="Calibri" w:hAnsi="Calibri"/>
          <w:sz w:val="22"/>
          <w:szCs w:val="22"/>
          <w:lang w:eastAsia="nl-NL"/>
        </w:rPr>
        <w:t xml:space="preserve">not be confirmed </w:t>
      </w:r>
      <w:r w:rsidR="0071734C">
        <w:rPr>
          <w:rFonts w:ascii="Calibri" w:hAnsi="Calibri"/>
          <w:sz w:val="22"/>
          <w:szCs w:val="22"/>
          <w:lang w:eastAsia="nl-NL"/>
        </w:rPr>
        <w:t xml:space="preserve">as </w:t>
      </w:r>
      <w:r w:rsidRPr="009A6F89">
        <w:rPr>
          <w:rFonts w:ascii="Calibri" w:hAnsi="Calibri"/>
          <w:sz w:val="22"/>
          <w:szCs w:val="22"/>
          <w:lang w:eastAsia="nl-NL"/>
        </w:rPr>
        <w:t xml:space="preserve">yet. </w:t>
      </w:r>
      <w:r w:rsidR="0071734C" w:rsidRPr="009A6F89">
        <w:rPr>
          <w:rFonts w:ascii="Calibri" w:hAnsi="Calibri"/>
          <w:sz w:val="22"/>
          <w:szCs w:val="22"/>
          <w:lang w:eastAsia="nl-NL"/>
        </w:rPr>
        <w:t>MONEYVAL</w:t>
      </w:r>
      <w:r w:rsidRPr="009A6F89">
        <w:rPr>
          <w:rFonts w:ascii="Calibri" w:hAnsi="Calibri"/>
          <w:sz w:val="22"/>
          <w:szCs w:val="22"/>
          <w:lang w:eastAsia="nl-NL"/>
        </w:rPr>
        <w:t xml:space="preserve"> (2011</w:t>
      </w:r>
      <w:r w:rsidR="00A30667">
        <w:rPr>
          <w:rFonts w:ascii="Calibri" w:hAnsi="Calibri"/>
          <w:sz w:val="22"/>
          <w:szCs w:val="22"/>
          <w:lang w:eastAsia="nl-NL"/>
        </w:rPr>
        <w:t>c</w:t>
      </w:r>
      <w:r w:rsidRPr="009A6F89">
        <w:rPr>
          <w:rFonts w:ascii="Calibri" w:hAnsi="Calibri"/>
          <w:sz w:val="22"/>
          <w:szCs w:val="22"/>
          <w:lang w:eastAsia="nl-NL"/>
        </w:rPr>
        <w:t>) report that the financial institutions they interviewed were satisfied with the cooperation and contribution provided by the F</w:t>
      </w:r>
      <w:r>
        <w:rPr>
          <w:rFonts w:ascii="Calibri" w:hAnsi="Calibri"/>
          <w:sz w:val="22"/>
          <w:szCs w:val="22"/>
          <w:lang w:eastAsia="nl-NL"/>
        </w:rPr>
        <w:t>I</w:t>
      </w:r>
      <w:r w:rsidRPr="009A6F89">
        <w:rPr>
          <w:rFonts w:ascii="Calibri" w:hAnsi="Calibri"/>
          <w:sz w:val="22"/>
          <w:szCs w:val="22"/>
          <w:lang w:eastAsia="nl-NL"/>
        </w:rPr>
        <w:t>U with respect to staff training and with the typologies the FAU provided them with</w:t>
      </w:r>
      <w:r w:rsidR="0071734C">
        <w:rPr>
          <w:rFonts w:ascii="Calibri" w:hAnsi="Calibri"/>
          <w:sz w:val="22"/>
          <w:szCs w:val="22"/>
          <w:lang w:eastAsia="nl-NL"/>
        </w:rPr>
        <w:t>.</w:t>
      </w:r>
      <w:r w:rsidRPr="009A6F89">
        <w:rPr>
          <w:rFonts w:ascii="Calibri" w:hAnsi="Calibri"/>
          <w:sz w:val="22"/>
          <w:szCs w:val="22"/>
          <w:vertAlign w:val="superscript"/>
          <w:lang w:eastAsia="nl-NL"/>
        </w:rPr>
        <w:footnoteReference w:id="5"/>
      </w:r>
      <w:r w:rsidRPr="009A6F89">
        <w:rPr>
          <w:rFonts w:ascii="Calibri" w:hAnsi="Calibri"/>
          <w:sz w:val="22"/>
          <w:szCs w:val="22"/>
          <w:lang w:eastAsia="nl-NL"/>
        </w:rPr>
        <w:t xml:space="preserve"> They confirmed that the F</w:t>
      </w:r>
      <w:r>
        <w:rPr>
          <w:rFonts w:ascii="Calibri" w:hAnsi="Calibri"/>
          <w:sz w:val="22"/>
          <w:szCs w:val="22"/>
          <w:lang w:eastAsia="nl-NL"/>
        </w:rPr>
        <w:t>I</w:t>
      </w:r>
      <w:r w:rsidRPr="009A6F89">
        <w:rPr>
          <w:rFonts w:ascii="Calibri" w:hAnsi="Calibri"/>
          <w:sz w:val="22"/>
          <w:szCs w:val="22"/>
          <w:lang w:eastAsia="nl-NL"/>
        </w:rPr>
        <w:t xml:space="preserve">U provided them with </w:t>
      </w:r>
      <w:r w:rsidR="00A24426">
        <w:rPr>
          <w:rFonts w:ascii="Calibri" w:hAnsi="Calibri"/>
          <w:sz w:val="22"/>
          <w:szCs w:val="22"/>
          <w:lang w:eastAsia="nl-NL"/>
        </w:rPr>
        <w:t>‘</w:t>
      </w:r>
      <w:r w:rsidRPr="007308A8">
        <w:rPr>
          <w:rFonts w:ascii="Calibri" w:hAnsi="Calibri"/>
          <w:sz w:val="22"/>
          <w:szCs w:val="22"/>
          <w:lang w:eastAsia="nl-NL"/>
        </w:rPr>
        <w:t>clarifications, opinions on issues related to the prohibition on money laundering through various means including verbal advice, letters, E-mail, etc</w:t>
      </w:r>
      <w:r w:rsidRPr="00A24426">
        <w:rPr>
          <w:rFonts w:ascii="Calibri" w:hAnsi="Calibri"/>
          <w:sz w:val="22"/>
          <w:szCs w:val="22"/>
          <w:lang w:eastAsia="nl-NL"/>
        </w:rPr>
        <w:t>.</w:t>
      </w:r>
      <w:r w:rsidR="00A24426">
        <w:rPr>
          <w:rFonts w:ascii="Calibri" w:hAnsi="Calibri"/>
          <w:sz w:val="22"/>
          <w:szCs w:val="22"/>
          <w:lang w:eastAsia="nl-NL"/>
        </w:rPr>
        <w:t>’</w:t>
      </w:r>
      <w:r w:rsidRPr="007308A8">
        <w:rPr>
          <w:rFonts w:ascii="Calibri" w:hAnsi="Calibri"/>
          <w:i/>
          <w:sz w:val="22"/>
          <w:szCs w:val="22"/>
          <w:lang w:eastAsia="nl-NL"/>
        </w:rPr>
        <w:t>.</w:t>
      </w:r>
      <w:r w:rsidRPr="009A6F89">
        <w:rPr>
          <w:rFonts w:ascii="Calibri" w:hAnsi="Calibri"/>
          <w:sz w:val="22"/>
          <w:szCs w:val="22"/>
          <w:vertAlign w:val="superscript"/>
          <w:lang w:eastAsia="nl-NL"/>
        </w:rPr>
        <w:footnoteReference w:id="6"/>
      </w:r>
    </w:p>
    <w:p w14:paraId="3B16D911" w14:textId="3C16EDB4"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Although there is no standard reporting format, in practice, according to the </w:t>
      </w:r>
      <w:r w:rsidRPr="0018503F">
        <w:rPr>
          <w:rFonts w:ascii="Calibri" w:eastAsia="Times New Roman" w:hAnsi="Calibri"/>
          <w:b/>
          <w:sz w:val="22"/>
          <w:szCs w:val="22"/>
          <w:lang w:eastAsia="nl-NL"/>
        </w:rPr>
        <w:t>Danish</w:t>
      </w:r>
      <w:r w:rsidRPr="009A6F89">
        <w:rPr>
          <w:rFonts w:ascii="Calibri" w:eastAsia="Times New Roman" w:hAnsi="Calibri"/>
          <w:sz w:val="22"/>
          <w:szCs w:val="22"/>
          <w:lang w:eastAsia="nl-NL"/>
        </w:rPr>
        <w:t xml:space="preserve"> representative, almost all reporting institutions use the reporting format provided by the FIU.</w:t>
      </w:r>
      <w:r>
        <w:rPr>
          <w:rFonts w:ascii="Calibri" w:eastAsia="Times New Roman" w:hAnsi="Calibri"/>
          <w:sz w:val="22"/>
          <w:szCs w:val="22"/>
          <w:lang w:eastAsia="nl-NL"/>
        </w:rPr>
        <w:t xml:space="preserve"> </w:t>
      </w:r>
      <w:r w:rsidRPr="009A6F89">
        <w:rPr>
          <w:rFonts w:ascii="Calibri" w:eastAsia="Times New Roman" w:hAnsi="Calibri"/>
          <w:sz w:val="22"/>
          <w:szCs w:val="22"/>
          <w:lang w:eastAsia="nl-NL"/>
        </w:rPr>
        <w:t>It was expected that</w:t>
      </w:r>
      <w:r w:rsidR="00B15933">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after the introduction of the new IT</w:t>
      </w:r>
      <w:r w:rsidR="00B15933">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system, </w:t>
      </w:r>
      <w:r w:rsidR="00B15933">
        <w:rPr>
          <w:rFonts w:ascii="Calibri" w:eastAsia="Times New Roman" w:hAnsi="Calibri"/>
          <w:sz w:val="22"/>
          <w:szCs w:val="22"/>
          <w:lang w:eastAsia="nl-NL"/>
        </w:rPr>
        <w:t xml:space="preserve">there would be a gradual increase in </w:t>
      </w:r>
      <w:r w:rsidRPr="009A6F89">
        <w:rPr>
          <w:rFonts w:ascii="Calibri" w:eastAsia="Times New Roman" w:hAnsi="Calibri"/>
          <w:sz w:val="22"/>
          <w:szCs w:val="22"/>
          <w:lang w:eastAsia="nl-NL"/>
        </w:rPr>
        <w:t>reports sent electronically. At first</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institutions would be given some time to adjust to the new situation, but at a certain moment the AML/CTF Act would be amended to make electronic reporting compulsory. According to the Danish representative, the FIU (due to its position within the SØK) can give both general feedback and specific feedback to reporting institutions. </w:t>
      </w:r>
      <w:r w:rsidR="00B15933">
        <w:rPr>
          <w:rFonts w:ascii="Calibri" w:eastAsia="Times New Roman" w:hAnsi="Calibri"/>
          <w:sz w:val="22"/>
          <w:szCs w:val="22"/>
          <w:lang w:eastAsia="nl-NL"/>
        </w:rPr>
        <w:t>S</w:t>
      </w:r>
      <w:r w:rsidRPr="009A6F89">
        <w:rPr>
          <w:rFonts w:ascii="Calibri" w:eastAsia="Times New Roman" w:hAnsi="Calibri"/>
          <w:sz w:val="22"/>
          <w:szCs w:val="22"/>
          <w:lang w:eastAsia="nl-NL"/>
        </w:rPr>
        <w:t>pecific feedback means that the FIU informs</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on its own initiative or </w:t>
      </w:r>
      <w:r w:rsidR="00B15933">
        <w:rPr>
          <w:rFonts w:ascii="Calibri" w:eastAsia="Times New Roman" w:hAnsi="Calibri"/>
          <w:sz w:val="22"/>
          <w:szCs w:val="22"/>
          <w:lang w:eastAsia="nl-NL"/>
        </w:rPr>
        <w:t>on</w:t>
      </w:r>
      <w:r w:rsidR="00B1593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request</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 reporting institution </w:t>
      </w:r>
      <w:r w:rsidR="00B15933" w:rsidRPr="009A6F89">
        <w:rPr>
          <w:rFonts w:ascii="Calibri" w:eastAsia="Times New Roman" w:hAnsi="Calibri"/>
          <w:sz w:val="22"/>
          <w:szCs w:val="22"/>
          <w:lang w:eastAsia="nl-NL"/>
        </w:rPr>
        <w:t>o</w:t>
      </w:r>
      <w:r w:rsidR="00B15933">
        <w:rPr>
          <w:rFonts w:ascii="Calibri" w:eastAsia="Times New Roman" w:hAnsi="Calibri"/>
          <w:sz w:val="22"/>
          <w:szCs w:val="22"/>
          <w:lang w:eastAsia="nl-NL"/>
        </w:rPr>
        <w:t>f</w:t>
      </w:r>
      <w:r w:rsidR="00B1593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 status of a particular case (is the case closed, pursued to court, has there yet been an indictment, is there a judgment</w:t>
      </w:r>
      <w:r w:rsidR="00B15933">
        <w:rPr>
          <w:rFonts w:ascii="Calibri" w:eastAsia="Times New Roman" w:hAnsi="Calibri"/>
          <w:sz w:val="22"/>
          <w:szCs w:val="22"/>
          <w:lang w:eastAsia="nl-NL"/>
        </w:rPr>
        <w:t>;</w:t>
      </w:r>
      <w:r w:rsidR="00B1593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if so, what is the outcome of the judgment</w:t>
      </w:r>
      <w:r w:rsidR="00B15933">
        <w:rPr>
          <w:rFonts w:ascii="Calibri" w:eastAsia="Times New Roman" w:hAnsi="Calibri"/>
          <w:sz w:val="22"/>
          <w:szCs w:val="22"/>
          <w:lang w:eastAsia="nl-NL"/>
        </w:rPr>
        <w:t>?</w:t>
      </w:r>
      <w:r w:rsidRPr="009A6F89">
        <w:rPr>
          <w:rFonts w:ascii="Calibri" w:eastAsia="Times New Roman" w:hAnsi="Calibri"/>
          <w:sz w:val="22"/>
          <w:szCs w:val="22"/>
          <w:lang w:eastAsia="nl-NL"/>
        </w:rPr>
        <w:t>)</w:t>
      </w:r>
      <w:r w:rsidR="00B15933">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Danish representative explained that this really motivat</w:t>
      </w:r>
      <w:r w:rsidR="00B15933">
        <w:rPr>
          <w:rFonts w:ascii="Calibri" w:eastAsia="Times New Roman" w:hAnsi="Calibri"/>
          <w:sz w:val="22"/>
          <w:szCs w:val="22"/>
          <w:lang w:eastAsia="nl-NL"/>
        </w:rPr>
        <w:t>es</w:t>
      </w:r>
      <w:r w:rsidRPr="009A6F89">
        <w:rPr>
          <w:rFonts w:ascii="Calibri" w:eastAsia="Times New Roman" w:hAnsi="Calibri"/>
          <w:sz w:val="22"/>
          <w:szCs w:val="22"/>
          <w:lang w:eastAsia="nl-NL"/>
        </w:rPr>
        <w:t xml:space="preserve"> reporting institutions and it also gives them guidance in the understanding and recognition of atypical transactions. In practice such specific feedback </w:t>
      </w:r>
      <w:r w:rsidR="00B15933">
        <w:rPr>
          <w:rFonts w:ascii="Calibri" w:eastAsia="Times New Roman" w:hAnsi="Calibri"/>
          <w:sz w:val="22"/>
          <w:szCs w:val="22"/>
          <w:lang w:eastAsia="nl-NL"/>
        </w:rPr>
        <w:t>ha</w:t>
      </w:r>
      <w:r w:rsidR="00B15933" w:rsidRPr="009A6F89">
        <w:rPr>
          <w:rFonts w:ascii="Calibri" w:eastAsia="Times New Roman" w:hAnsi="Calibri"/>
          <w:sz w:val="22"/>
          <w:szCs w:val="22"/>
          <w:lang w:eastAsia="nl-NL"/>
        </w:rPr>
        <w:t xml:space="preserve">s </w:t>
      </w:r>
      <w:r w:rsidRPr="009A6F89">
        <w:rPr>
          <w:rFonts w:ascii="Calibri" w:eastAsia="Times New Roman" w:hAnsi="Calibri"/>
          <w:sz w:val="22"/>
          <w:szCs w:val="22"/>
          <w:lang w:eastAsia="nl-NL"/>
        </w:rPr>
        <w:t xml:space="preserve">thus far only </w:t>
      </w:r>
      <w:r w:rsidR="00B15933">
        <w:rPr>
          <w:rFonts w:ascii="Calibri" w:eastAsia="Times New Roman" w:hAnsi="Calibri"/>
          <w:sz w:val="22"/>
          <w:szCs w:val="22"/>
          <w:lang w:eastAsia="nl-NL"/>
        </w:rPr>
        <w:t xml:space="preserve">been </w:t>
      </w:r>
      <w:r w:rsidRPr="009A6F89">
        <w:rPr>
          <w:rFonts w:ascii="Calibri" w:eastAsia="Times New Roman" w:hAnsi="Calibri"/>
          <w:sz w:val="22"/>
          <w:szCs w:val="22"/>
          <w:lang w:eastAsia="nl-NL"/>
        </w:rPr>
        <w:t xml:space="preserve">given to banks, in one-to-one meetings at the office of the FIU with money laundering reporting officers. In theory, the Danish representative argued that it is also possible to give such specific feedback to other reporting institutions. </w:t>
      </w:r>
    </w:p>
    <w:p w14:paraId="7692346B" w14:textId="27EBFEEB"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w:t>
      </w:r>
      <w:r w:rsidRPr="009A6F89">
        <w:rPr>
          <w:rFonts w:ascii="Calibri" w:eastAsia="Times New Roman" w:hAnsi="Calibri"/>
          <w:b/>
          <w:sz w:val="22"/>
          <w:szCs w:val="22"/>
          <w:lang w:eastAsia="nl-NL"/>
        </w:rPr>
        <w:t>Estonia</w:t>
      </w:r>
      <w:r w:rsidRPr="009A6F89">
        <w:rPr>
          <w:rFonts w:ascii="Calibri" w:eastAsia="Times New Roman" w:hAnsi="Calibri"/>
          <w:sz w:val="22"/>
          <w:szCs w:val="22"/>
          <w:lang w:eastAsia="nl-NL"/>
        </w:rPr>
        <w:t xml:space="preserve"> the FIU provides general feedback through annual reports. According to the Estonian representative, the FIU conducts about 15</w:t>
      </w:r>
      <w:r w:rsidR="00B15933">
        <w:rPr>
          <w:rFonts w:ascii="Calibri" w:eastAsia="Times New Roman" w:hAnsi="Calibri"/>
          <w:sz w:val="22"/>
          <w:szCs w:val="22"/>
          <w:lang w:eastAsia="nl-NL"/>
        </w:rPr>
        <w:t>–</w:t>
      </w:r>
      <w:r w:rsidRPr="009A6F89">
        <w:rPr>
          <w:rFonts w:ascii="Calibri" w:eastAsia="Times New Roman" w:hAnsi="Calibri"/>
          <w:sz w:val="22"/>
          <w:szCs w:val="22"/>
          <w:lang w:eastAsia="nl-NL"/>
        </w:rPr>
        <w:t>20 training</w:t>
      </w:r>
      <w:r>
        <w:rPr>
          <w:rFonts w:ascii="Calibri" w:eastAsia="Times New Roman" w:hAnsi="Calibri"/>
          <w:sz w:val="22"/>
          <w:szCs w:val="22"/>
          <w:lang w:eastAsia="nl-NL"/>
        </w:rPr>
        <w:t xml:space="preserve"> session</w:t>
      </w:r>
      <w:r w:rsidRPr="009A6F89">
        <w:rPr>
          <w:rFonts w:ascii="Calibri" w:eastAsia="Times New Roman" w:hAnsi="Calibri"/>
          <w:sz w:val="22"/>
          <w:szCs w:val="22"/>
          <w:lang w:eastAsia="nl-NL"/>
        </w:rPr>
        <w:t>s per year with reporting entities to help them better identify STRs. There are only 18 banks in Estonia and, according to the Estonian representative, the FIU knows them all personally and has a very good relationship with them. The reporting entities can therefore be provided with case-by-case feedback. Furthermore, the FIU publishes guidelines for the reporting entities</w:t>
      </w:r>
      <w:r w:rsidR="00B15933">
        <w:rPr>
          <w:rFonts w:ascii="Calibri" w:eastAsia="Times New Roman" w:hAnsi="Calibri"/>
          <w:sz w:val="22"/>
          <w:szCs w:val="22"/>
          <w:lang w:eastAsia="nl-NL"/>
        </w:rPr>
        <w:t>,</w:t>
      </w:r>
      <w:r w:rsidRPr="009A6F89">
        <w:rPr>
          <w:rFonts w:ascii="Calibri" w:eastAsia="Times New Roman" w:hAnsi="Calibri"/>
          <w:sz w:val="22"/>
          <w:szCs w:val="22"/>
          <w:lang w:eastAsia="nl-NL"/>
        </w:rPr>
        <w:t xml:space="preserve"> instructing them on how to report. </w:t>
      </w:r>
    </w:p>
    <w:p w14:paraId="61F1E581" w14:textId="5D708EA4"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w:t>
      </w:r>
      <w:r w:rsidRPr="006425EB">
        <w:rPr>
          <w:rFonts w:ascii="Calibri" w:eastAsia="Times New Roman" w:hAnsi="Calibri"/>
          <w:b/>
          <w:sz w:val="22"/>
          <w:szCs w:val="22"/>
          <w:lang w:eastAsia="nl-NL"/>
        </w:rPr>
        <w:t>Finland</w:t>
      </w:r>
      <w:r w:rsidRPr="009A6F89">
        <w:rPr>
          <w:rFonts w:ascii="Calibri" w:eastAsia="Times New Roman" w:hAnsi="Calibri"/>
          <w:sz w:val="22"/>
          <w:szCs w:val="22"/>
          <w:lang w:eastAsia="nl-NL"/>
        </w:rPr>
        <w:t>, the reporting entities can report online, and they are instructed on using a standard reporting format issued by the FIU. This can be downloaded from the FIU website, which at this point only offers information in Finnish on this matter. The FIU provides general feedback to the reporting institutions via its website. The FIU publishes several annual reports with statistics, trends and legislative developments</w:t>
      </w:r>
      <w:r w:rsidR="00B731A8">
        <w:rPr>
          <w:rFonts w:ascii="Calibri" w:eastAsia="Times New Roman" w:hAnsi="Calibri"/>
          <w:sz w:val="22"/>
          <w:szCs w:val="22"/>
          <w:lang w:eastAsia="nl-NL"/>
        </w:rPr>
        <w:t>,</w:t>
      </w:r>
      <w:r w:rsidRPr="009A6F89">
        <w:rPr>
          <w:rFonts w:ascii="Calibri" w:eastAsia="Times New Roman" w:hAnsi="Calibri"/>
          <w:sz w:val="22"/>
          <w:szCs w:val="22"/>
          <w:lang w:eastAsia="nl-NL"/>
        </w:rPr>
        <w:t xml:space="preserve"> but only </w:t>
      </w:r>
      <w:r>
        <w:rPr>
          <w:rFonts w:ascii="Calibri" w:eastAsia="Times New Roman" w:hAnsi="Calibri"/>
          <w:sz w:val="22"/>
          <w:szCs w:val="22"/>
          <w:lang w:eastAsia="nl-NL"/>
        </w:rPr>
        <w:t xml:space="preserve">a </w:t>
      </w:r>
      <w:r w:rsidRPr="009A6F89">
        <w:rPr>
          <w:rFonts w:ascii="Calibri" w:eastAsia="Times New Roman" w:hAnsi="Calibri"/>
          <w:sz w:val="22"/>
          <w:szCs w:val="22"/>
          <w:lang w:eastAsia="nl-NL"/>
        </w:rPr>
        <w:t>few of them are translated into English. Cooperation with the obliged parties is reported to be one of the priorities of the MLCH.</w:t>
      </w:r>
      <w:r w:rsidR="0000585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 training it provides to the reporting entities is based on practical examples.</w:t>
      </w:r>
      <w:r w:rsidR="0000585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Obliged parties also seek the advice of the MLCH on a more ad hoc basis and appear to appreciate the guidance and assistance provided. FATF (2007</w:t>
      </w:r>
      <w:r w:rsidR="00B731A8">
        <w:rPr>
          <w:rFonts w:ascii="Calibri" w:eastAsia="Times New Roman" w:hAnsi="Calibri"/>
          <w:sz w:val="22"/>
          <w:szCs w:val="22"/>
          <w:lang w:eastAsia="nl-NL"/>
        </w:rPr>
        <w:t>b</w:t>
      </w:r>
      <w:r w:rsidRPr="009A6F89">
        <w:rPr>
          <w:rFonts w:ascii="Calibri" w:eastAsia="Times New Roman" w:hAnsi="Calibri"/>
          <w:sz w:val="22"/>
          <w:szCs w:val="22"/>
          <w:lang w:eastAsia="nl-NL"/>
        </w:rPr>
        <w:t>) reports that</w:t>
      </w:r>
      <w:r w:rsidR="00B731A8">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as part of this ad hoc advice, the MLCH provides feedback to the obliged parties about the quality of the information they </w:t>
      </w:r>
      <w:r w:rsidR="00B731A8">
        <w:rPr>
          <w:rFonts w:ascii="Calibri" w:eastAsia="Times New Roman" w:hAnsi="Calibri"/>
          <w:sz w:val="22"/>
          <w:szCs w:val="22"/>
          <w:lang w:eastAsia="nl-NL"/>
        </w:rPr>
        <w:t xml:space="preserve">have </w:t>
      </w:r>
      <w:r w:rsidRPr="009A6F89">
        <w:rPr>
          <w:rFonts w:ascii="Calibri" w:eastAsia="Times New Roman" w:hAnsi="Calibri"/>
          <w:sz w:val="22"/>
          <w:szCs w:val="22"/>
          <w:lang w:eastAsia="nl-NL"/>
        </w:rPr>
        <w:t>disclosed.</w:t>
      </w:r>
      <w:r w:rsidRPr="009A6F89">
        <w:rPr>
          <w:rFonts w:ascii="Calibri" w:eastAsia="Times New Roman" w:hAnsi="Calibri"/>
          <w:sz w:val="22"/>
          <w:szCs w:val="22"/>
          <w:vertAlign w:val="superscript"/>
          <w:lang w:eastAsia="nl-NL"/>
        </w:rPr>
        <w:footnoteReference w:id="7"/>
      </w:r>
    </w:p>
    <w:p w14:paraId="17FE70CA" w14:textId="3BBD9A03"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the FATF </w:t>
      </w:r>
      <w:r w:rsidR="00067D56">
        <w:rPr>
          <w:rFonts w:ascii="Calibri" w:eastAsia="Times New Roman" w:hAnsi="Calibri"/>
          <w:sz w:val="22"/>
          <w:szCs w:val="22"/>
          <w:lang w:eastAsia="nl-NL"/>
        </w:rPr>
        <w:t xml:space="preserve">(2011a) </w:t>
      </w:r>
      <w:r w:rsidRPr="009A6F89">
        <w:rPr>
          <w:rFonts w:ascii="Calibri" w:eastAsia="Times New Roman" w:hAnsi="Calibri"/>
          <w:sz w:val="22"/>
          <w:szCs w:val="22"/>
          <w:lang w:eastAsia="nl-NL"/>
        </w:rPr>
        <w:t>report it was mentioned that the resources employed by the</w:t>
      </w:r>
      <w:r w:rsidRPr="00703BF0">
        <w:rPr>
          <w:rFonts w:ascii="Calibri" w:eastAsia="Times New Roman" w:hAnsi="Calibri"/>
          <w:b/>
          <w:sz w:val="22"/>
          <w:szCs w:val="22"/>
          <w:lang w:eastAsia="nl-NL"/>
        </w:rPr>
        <w:t xml:space="preserve"> French</w:t>
      </w:r>
      <w:r w:rsidRPr="009A6F89">
        <w:rPr>
          <w:rFonts w:ascii="Calibri" w:eastAsia="Times New Roman" w:hAnsi="Calibri"/>
          <w:sz w:val="22"/>
          <w:szCs w:val="22"/>
          <w:lang w:eastAsia="nl-NL"/>
        </w:rPr>
        <w:t xml:space="preserve"> FIU to conduct analysis </w:t>
      </w:r>
      <w:r w:rsidR="00B731A8">
        <w:rPr>
          <w:rFonts w:ascii="Calibri" w:eastAsia="Times New Roman" w:hAnsi="Calibri"/>
          <w:sz w:val="22"/>
          <w:szCs w:val="22"/>
          <w:lang w:eastAsia="nl-NL"/>
        </w:rPr>
        <w:t>we</w:t>
      </w:r>
      <w:r w:rsidR="00B731A8" w:rsidRPr="009A6F89">
        <w:rPr>
          <w:rFonts w:ascii="Calibri" w:eastAsia="Times New Roman" w:hAnsi="Calibri"/>
          <w:sz w:val="22"/>
          <w:szCs w:val="22"/>
          <w:lang w:eastAsia="nl-NL"/>
        </w:rPr>
        <w:t xml:space="preserve">re </w:t>
      </w:r>
      <w:r w:rsidRPr="009A6F89">
        <w:rPr>
          <w:rFonts w:ascii="Calibri" w:eastAsia="Times New Roman" w:hAnsi="Calibri"/>
          <w:sz w:val="22"/>
          <w:szCs w:val="22"/>
          <w:lang w:eastAsia="nl-NL"/>
        </w:rPr>
        <w:t xml:space="preserve">not sufficient to cope with the </w:t>
      </w:r>
      <w:r w:rsidR="00B731A8">
        <w:rPr>
          <w:rFonts w:ascii="Calibri" w:eastAsia="Times New Roman" w:hAnsi="Calibri"/>
          <w:sz w:val="22"/>
          <w:szCs w:val="22"/>
          <w:lang w:eastAsia="nl-NL"/>
        </w:rPr>
        <w:t>number</w:t>
      </w:r>
      <w:r w:rsidR="00B731A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of incoming reports. Furthermore, the absence of quantifiable information concerning the judicial follow-up of</w:t>
      </w:r>
      <w:r w:rsidRPr="00703BF0">
        <w:rPr>
          <w:rFonts w:ascii="Calibri" w:eastAsia="Times New Roman" w:hAnsi="Calibri"/>
          <w:sz w:val="22"/>
          <w:szCs w:val="22"/>
          <w:lang w:eastAsia="nl-NL"/>
        </w:rPr>
        <w:t xml:space="preserve"> TRACFIN</w:t>
      </w:r>
      <w:r w:rsidRPr="009A6F89">
        <w:rPr>
          <w:rFonts w:ascii="Calibri" w:eastAsia="Times New Roman" w:hAnsi="Calibri"/>
          <w:sz w:val="22"/>
          <w:szCs w:val="22"/>
          <w:lang w:eastAsia="nl-NL"/>
        </w:rPr>
        <w:t xml:space="preserve"> cases means that </w:t>
      </w:r>
      <w:r w:rsidRPr="009A6F89">
        <w:rPr>
          <w:rFonts w:ascii="Calibri" w:eastAsia="Times New Roman" w:hAnsi="Calibri"/>
          <w:sz w:val="22"/>
          <w:szCs w:val="22"/>
          <w:lang w:eastAsia="nl-NL"/>
        </w:rPr>
        <w:lastRenderedPageBreak/>
        <w:t>their contribution to AML/CFT investigations cannot be evaluated</w:t>
      </w:r>
      <w:r w:rsidR="00B731A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8"/>
      </w:r>
      <w:r w:rsidRPr="009A6F89">
        <w:rPr>
          <w:rFonts w:ascii="Calibri" w:eastAsia="Times New Roman" w:hAnsi="Calibri"/>
          <w:sz w:val="22"/>
          <w:szCs w:val="22"/>
          <w:lang w:eastAsia="nl-NL"/>
        </w:rPr>
        <w:t xml:space="preserve"> This is </w:t>
      </w:r>
      <w:r w:rsidR="00B731A8" w:rsidRPr="00B731A8">
        <w:rPr>
          <w:rFonts w:ascii="Calibri" w:eastAsia="Times New Roman" w:hAnsi="Calibri"/>
          <w:sz w:val="22"/>
          <w:szCs w:val="22"/>
          <w:lang w:eastAsia="nl-NL"/>
        </w:rPr>
        <w:t xml:space="preserve">also </w:t>
      </w:r>
      <w:r w:rsidRPr="009A6F89">
        <w:rPr>
          <w:rFonts w:ascii="Calibri" w:eastAsia="Times New Roman" w:hAnsi="Calibri"/>
          <w:sz w:val="22"/>
          <w:szCs w:val="22"/>
          <w:lang w:eastAsia="nl-NL"/>
        </w:rPr>
        <w:t>reflected in the nature of the feedback the FIU is able to give to the reporting entity. TRACFIN relies on good cooperation with the reporting entities</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and in particular on informal contacts that TRACFIN agents have with compliance officers. Despite the difficulty of confirming such informal contacts, TRACFIN representatives state that the feedback they provide to the reporting entities is very good. TRACFIN has created a reporting template that reporting entities can use as guidance when disclosing STRs. In addition to this, TRACFIN issues an acknowledgement of receipt for each STR</w:t>
      </w:r>
      <w:r w:rsidR="00B731A8">
        <w:rPr>
          <w:rFonts w:ascii="Calibri" w:eastAsia="Times New Roman" w:hAnsi="Calibri"/>
          <w:sz w:val="22"/>
          <w:szCs w:val="22"/>
          <w:lang w:eastAsia="nl-NL"/>
        </w:rPr>
        <w:t xml:space="preserve"> received</w:t>
      </w:r>
      <w:r w:rsidRPr="009A6F89">
        <w:rPr>
          <w:rFonts w:ascii="Calibri" w:eastAsia="Times New Roman" w:hAnsi="Calibri"/>
          <w:sz w:val="22"/>
          <w:szCs w:val="22"/>
          <w:lang w:eastAsia="nl-NL"/>
        </w:rPr>
        <w:t xml:space="preserve">. This is automatically done when reporting electronically and otherwise manually upon the receipt of an STR by mail. The FATF evaluation </w:t>
      </w:r>
      <w:r w:rsidR="00067D56">
        <w:rPr>
          <w:rFonts w:ascii="Calibri" w:eastAsia="Times New Roman" w:hAnsi="Calibri"/>
          <w:sz w:val="22"/>
          <w:szCs w:val="22"/>
          <w:lang w:eastAsia="nl-NL"/>
        </w:rPr>
        <w:t>(</w:t>
      </w:r>
      <w:r w:rsidRPr="009A6F89">
        <w:rPr>
          <w:rFonts w:ascii="Calibri" w:eastAsia="Times New Roman" w:hAnsi="Calibri"/>
          <w:sz w:val="22"/>
          <w:szCs w:val="22"/>
          <w:lang w:eastAsia="nl-NL"/>
        </w:rPr>
        <w:t>2011</w:t>
      </w:r>
      <w:r w:rsidR="00067D56">
        <w:rPr>
          <w:rFonts w:ascii="Calibri" w:eastAsia="Times New Roman" w:hAnsi="Calibri"/>
          <w:sz w:val="22"/>
          <w:szCs w:val="22"/>
          <w:lang w:eastAsia="nl-NL"/>
        </w:rPr>
        <w:t>a)</w:t>
      </w:r>
      <w:r w:rsidRPr="009A6F89">
        <w:rPr>
          <w:rFonts w:ascii="Calibri" w:eastAsia="Times New Roman" w:hAnsi="Calibri"/>
          <w:sz w:val="22"/>
          <w:szCs w:val="22"/>
          <w:vertAlign w:val="superscript"/>
          <w:lang w:eastAsia="nl-NL"/>
        </w:rPr>
        <w:footnoteReference w:id="9"/>
      </w:r>
      <w:r w:rsidRPr="009A6F89">
        <w:rPr>
          <w:rFonts w:ascii="Calibri" w:eastAsia="Times New Roman" w:hAnsi="Calibri"/>
          <w:sz w:val="22"/>
          <w:szCs w:val="22"/>
          <w:lang w:eastAsia="nl-NL"/>
        </w:rPr>
        <w:t xml:space="preserve"> suggested that TRACFIN does not publish enough detailed, written guidance for non-financial institutions on how to prepare suspicious transaction reports. During interviews</w:t>
      </w:r>
      <w:r w:rsidR="00B731A8">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FIU representatives argued that they </w:t>
      </w:r>
      <w:r w:rsidR="00B731A8">
        <w:rPr>
          <w:rFonts w:ascii="Calibri" w:eastAsia="Times New Roman" w:hAnsi="Calibri"/>
          <w:sz w:val="22"/>
          <w:szCs w:val="22"/>
          <w:lang w:eastAsia="nl-NL"/>
        </w:rPr>
        <w:t xml:space="preserve">have </w:t>
      </w:r>
      <w:r w:rsidRPr="009A6F89">
        <w:rPr>
          <w:rFonts w:ascii="Calibri" w:eastAsia="Times New Roman" w:hAnsi="Calibri"/>
          <w:sz w:val="22"/>
          <w:szCs w:val="22"/>
          <w:lang w:eastAsia="nl-NL"/>
        </w:rPr>
        <w:t xml:space="preserve">successfully tackled this point. According to the FIU 2011 report, the </w:t>
      </w:r>
      <w:r w:rsidR="00B731A8" w:rsidRPr="009A6F89">
        <w:rPr>
          <w:rFonts w:ascii="Calibri" w:eastAsia="Times New Roman" w:hAnsi="Calibri"/>
          <w:sz w:val="22"/>
          <w:szCs w:val="22"/>
          <w:lang w:eastAsia="nl-NL"/>
        </w:rPr>
        <w:t>reorgani</w:t>
      </w:r>
      <w:r w:rsidR="00B731A8">
        <w:rPr>
          <w:rFonts w:ascii="Calibri" w:eastAsia="Times New Roman" w:hAnsi="Calibri"/>
          <w:sz w:val="22"/>
          <w:szCs w:val="22"/>
          <w:lang w:eastAsia="nl-NL"/>
        </w:rPr>
        <w:t>z</w:t>
      </w:r>
      <w:r w:rsidR="00B731A8" w:rsidRPr="009A6F89">
        <w:rPr>
          <w:rFonts w:ascii="Calibri" w:eastAsia="Times New Roman" w:hAnsi="Calibri"/>
          <w:sz w:val="22"/>
          <w:szCs w:val="22"/>
          <w:lang w:eastAsia="nl-NL"/>
        </w:rPr>
        <w:t xml:space="preserve">ation </w:t>
      </w:r>
      <w:r w:rsidRPr="009A6F89">
        <w:rPr>
          <w:rFonts w:ascii="Calibri" w:eastAsia="Times New Roman" w:hAnsi="Calibri"/>
          <w:sz w:val="22"/>
          <w:szCs w:val="22"/>
          <w:lang w:eastAsia="nl-NL"/>
        </w:rPr>
        <w:t xml:space="preserve">of the </w:t>
      </w:r>
      <w:r w:rsidR="00B731A8">
        <w:rPr>
          <w:rFonts w:ascii="Calibri" w:eastAsia="Times New Roman" w:hAnsi="Calibri"/>
          <w:sz w:val="22"/>
          <w:szCs w:val="22"/>
          <w:lang w:eastAsia="nl-NL"/>
        </w:rPr>
        <w:t>u</w:t>
      </w:r>
      <w:r w:rsidR="00B731A8" w:rsidRPr="009A6F89">
        <w:rPr>
          <w:rFonts w:ascii="Calibri" w:eastAsia="Times New Roman" w:hAnsi="Calibri"/>
          <w:sz w:val="22"/>
          <w:szCs w:val="22"/>
          <w:lang w:eastAsia="nl-NL"/>
        </w:rPr>
        <w:t xml:space="preserve">nit </w:t>
      </w:r>
      <w:r w:rsidRPr="009A6F89">
        <w:rPr>
          <w:rFonts w:ascii="Calibri" w:eastAsia="Times New Roman" w:hAnsi="Calibri"/>
          <w:sz w:val="22"/>
          <w:szCs w:val="22"/>
          <w:lang w:eastAsia="nl-NL"/>
        </w:rPr>
        <w:t xml:space="preserve">following the Decree of 7 January 2011 </w:t>
      </w:r>
      <w:r w:rsidR="00B731A8">
        <w:rPr>
          <w:rFonts w:ascii="Calibri" w:eastAsia="Times New Roman" w:hAnsi="Calibri"/>
          <w:sz w:val="22"/>
          <w:szCs w:val="22"/>
          <w:lang w:eastAsia="nl-NL"/>
        </w:rPr>
        <w:t xml:space="preserve">has </w:t>
      </w:r>
      <w:r w:rsidRPr="009A6F89">
        <w:rPr>
          <w:rFonts w:ascii="Calibri" w:eastAsia="Times New Roman" w:hAnsi="Calibri"/>
          <w:sz w:val="22"/>
          <w:szCs w:val="22"/>
          <w:lang w:eastAsia="nl-NL"/>
        </w:rPr>
        <w:t xml:space="preserve">brought about a change in awareness efforts with respect to reporting entities. </w:t>
      </w:r>
      <w:r>
        <w:rPr>
          <w:rFonts w:ascii="Calibri" w:eastAsia="Times New Roman" w:hAnsi="Calibri"/>
          <w:sz w:val="22"/>
          <w:szCs w:val="22"/>
          <w:lang w:eastAsia="nl-NL"/>
        </w:rPr>
        <w:t>TRACFIN</w:t>
      </w:r>
      <w:r w:rsidRPr="009A6F89">
        <w:rPr>
          <w:rFonts w:ascii="Calibri" w:eastAsia="Times New Roman" w:hAnsi="Calibri"/>
          <w:sz w:val="22"/>
          <w:szCs w:val="22"/>
          <w:lang w:eastAsia="nl-NL"/>
        </w:rPr>
        <w:t>’s actions at the national level have been cut back considerably (to approximately 24 communication actions) to make room for more targeted contacts with individuals.</w:t>
      </w:r>
      <w:r w:rsidRPr="009A6F89">
        <w:rPr>
          <w:rFonts w:ascii="Calibri" w:eastAsia="Times New Roman" w:hAnsi="Calibri"/>
          <w:sz w:val="22"/>
          <w:szCs w:val="22"/>
          <w:vertAlign w:val="superscript"/>
          <w:lang w:eastAsia="nl-NL"/>
        </w:rPr>
        <w:footnoteReference w:id="10"/>
      </w:r>
      <w:r w:rsidRPr="009A6F89">
        <w:rPr>
          <w:rFonts w:ascii="Calibri" w:eastAsia="Times New Roman" w:hAnsi="Calibri"/>
          <w:sz w:val="22"/>
          <w:szCs w:val="22"/>
          <w:lang w:eastAsia="nl-NL"/>
        </w:rPr>
        <w:t xml:space="preserve"> In 2011 TRACFIN paid specific attention to the DNFBPs (14 communication actions with them</w:t>
      </w:r>
      <w:r>
        <w:rPr>
          <w:rFonts w:ascii="Calibri" w:eastAsia="Times New Roman" w:hAnsi="Calibri"/>
          <w:sz w:val="22"/>
          <w:szCs w:val="22"/>
          <w:lang w:eastAsia="nl-NL"/>
        </w:rPr>
        <w:t xml:space="preserve"> alone</w:t>
      </w:r>
      <w:r w:rsidRPr="009A6F89">
        <w:rPr>
          <w:rFonts w:ascii="Calibri" w:eastAsia="Times New Roman" w:hAnsi="Calibri"/>
          <w:sz w:val="22"/>
          <w:szCs w:val="22"/>
          <w:lang w:eastAsia="nl-NL"/>
        </w:rPr>
        <w:t>).</w:t>
      </w:r>
    </w:p>
    <w:p w14:paraId="1739B094" w14:textId="5A73BD7E"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Giving feedback to the REs is </w:t>
      </w:r>
      <w:r>
        <w:rPr>
          <w:rFonts w:ascii="Calibri" w:eastAsia="Times New Roman" w:hAnsi="Calibri"/>
          <w:sz w:val="22"/>
          <w:szCs w:val="22"/>
          <w:lang w:eastAsia="nl-NL"/>
        </w:rPr>
        <w:t>required by</w:t>
      </w:r>
      <w:r w:rsidRPr="009A6F89">
        <w:rPr>
          <w:rFonts w:ascii="Calibri" w:eastAsia="Times New Roman" w:hAnsi="Calibri"/>
          <w:sz w:val="22"/>
          <w:szCs w:val="22"/>
          <w:lang w:eastAsia="nl-NL"/>
        </w:rPr>
        <w:t xml:space="preserve"> the </w:t>
      </w:r>
      <w:r w:rsidRPr="009A6F89">
        <w:rPr>
          <w:rFonts w:ascii="Calibri" w:eastAsia="Times New Roman" w:hAnsi="Calibri"/>
          <w:b/>
          <w:sz w:val="22"/>
          <w:szCs w:val="22"/>
          <w:lang w:eastAsia="nl-NL"/>
        </w:rPr>
        <w:t>German</w:t>
      </w:r>
      <w:r w:rsidRPr="009A6F89">
        <w:rPr>
          <w:rFonts w:ascii="Calibri" w:eastAsia="Times New Roman" w:hAnsi="Calibri"/>
          <w:sz w:val="22"/>
          <w:szCs w:val="22"/>
          <w:lang w:eastAsia="nl-NL"/>
        </w:rPr>
        <w:t xml:space="preserve"> AML Act, </w:t>
      </w:r>
      <w:r w:rsidR="00F90860">
        <w:rPr>
          <w:rFonts w:ascii="Calibri" w:eastAsia="Times New Roman" w:hAnsi="Calibri"/>
          <w:sz w:val="22"/>
          <w:szCs w:val="22"/>
          <w:lang w:eastAsia="nl-NL"/>
        </w:rPr>
        <w:t>S</w:t>
      </w:r>
      <w:r w:rsidR="00F90860" w:rsidRPr="009A6F89">
        <w:rPr>
          <w:rFonts w:ascii="Calibri" w:eastAsia="Times New Roman" w:hAnsi="Calibri"/>
          <w:sz w:val="22"/>
          <w:szCs w:val="22"/>
          <w:lang w:eastAsia="nl-NL"/>
        </w:rPr>
        <w:t xml:space="preserve">ection </w:t>
      </w:r>
      <w:r w:rsidRPr="009A6F89">
        <w:rPr>
          <w:rFonts w:ascii="Calibri" w:eastAsia="Times New Roman" w:hAnsi="Calibri"/>
          <w:sz w:val="22"/>
          <w:szCs w:val="22"/>
          <w:lang w:eastAsia="nl-NL"/>
        </w:rPr>
        <w:t>10(1). T</w:t>
      </w:r>
      <w:r w:rsidRPr="009A6F89">
        <w:rPr>
          <w:rFonts w:ascii="Calibri" w:eastAsia="Times New Roman" w:hAnsi="Calibri" w:cs="Calibri"/>
          <w:sz w:val="22"/>
          <w:szCs w:val="22"/>
          <w:lang w:eastAsia="nl-NL"/>
        </w:rPr>
        <w:t xml:space="preserve">he FIU informs the </w:t>
      </w:r>
      <w:r w:rsidR="00C96473">
        <w:rPr>
          <w:rFonts w:ascii="Calibri" w:eastAsia="Times New Roman" w:hAnsi="Calibri" w:cs="Calibri"/>
          <w:sz w:val="22"/>
          <w:szCs w:val="22"/>
          <w:lang w:eastAsia="nl-NL"/>
        </w:rPr>
        <w:t>reporting entities (</w:t>
      </w:r>
      <w:r w:rsidR="00C96473" w:rsidRPr="009A6F89">
        <w:rPr>
          <w:rFonts w:ascii="Calibri" w:eastAsia="Times New Roman" w:hAnsi="Calibri" w:cs="Calibri"/>
          <w:sz w:val="22"/>
          <w:szCs w:val="22"/>
          <w:lang w:eastAsia="nl-NL"/>
        </w:rPr>
        <w:t>R</w:t>
      </w:r>
      <w:r w:rsidR="00C96473">
        <w:rPr>
          <w:rFonts w:ascii="Calibri" w:eastAsia="Times New Roman" w:hAnsi="Calibri" w:cs="Calibri"/>
          <w:sz w:val="22"/>
          <w:szCs w:val="22"/>
          <w:lang w:eastAsia="nl-NL"/>
        </w:rPr>
        <w:t>E</w:t>
      </w:r>
      <w:r w:rsidR="00C96473" w:rsidRPr="009A6F89">
        <w:rPr>
          <w:rFonts w:ascii="Calibri" w:eastAsia="Times New Roman" w:hAnsi="Calibri" w:cs="Calibri"/>
          <w:sz w:val="22"/>
          <w:szCs w:val="22"/>
          <w:lang w:eastAsia="nl-NL"/>
        </w:rPr>
        <w:t>s</w:t>
      </w:r>
      <w:r w:rsidR="00C96473">
        <w:rPr>
          <w:rFonts w:ascii="Calibri" w:eastAsia="Times New Roman" w:hAnsi="Calibri" w:cs="Calibri"/>
          <w:sz w:val="22"/>
          <w:szCs w:val="22"/>
          <w:lang w:eastAsia="nl-NL"/>
        </w:rPr>
        <w:t>)</w:t>
      </w:r>
      <w:r w:rsidRPr="009A6F89">
        <w:rPr>
          <w:rFonts w:ascii="Calibri" w:eastAsia="Times New Roman" w:hAnsi="Calibri" w:cs="Calibri"/>
          <w:sz w:val="22"/>
          <w:szCs w:val="22"/>
          <w:lang w:eastAsia="nl-NL"/>
        </w:rPr>
        <w:t xml:space="preserve"> </w:t>
      </w:r>
      <w:r w:rsidRPr="009A6F89">
        <w:rPr>
          <w:rFonts w:ascii="Calibri" w:eastAsia="Times New Roman" w:hAnsi="Calibri"/>
          <w:sz w:val="22"/>
          <w:szCs w:val="22"/>
          <w:lang w:eastAsia="nl-NL"/>
        </w:rPr>
        <w:t>about emerging ML trends, and new typologies through secured area of its website. According to FATF (2010</w:t>
      </w:r>
      <w:r w:rsidR="00F90860">
        <w:rPr>
          <w:rFonts w:ascii="Calibri" w:eastAsia="Times New Roman" w:hAnsi="Calibri"/>
          <w:sz w:val="22"/>
          <w:szCs w:val="22"/>
          <w:lang w:eastAsia="nl-NL"/>
        </w:rPr>
        <w:t>e</w:t>
      </w:r>
      <w:r w:rsidRPr="009A6F89">
        <w:rPr>
          <w:rFonts w:ascii="Calibri" w:eastAsia="Times New Roman" w:hAnsi="Calibri"/>
          <w:sz w:val="22"/>
          <w:szCs w:val="22"/>
          <w:lang w:eastAsia="nl-NL"/>
        </w:rPr>
        <w:t>)</w:t>
      </w:r>
      <w:r w:rsidR="00F90860">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FIU also publishes </w:t>
      </w:r>
      <w:r w:rsidR="00F90860">
        <w:rPr>
          <w:rFonts w:ascii="Calibri" w:eastAsia="Times New Roman" w:hAnsi="Calibri"/>
          <w:sz w:val="22"/>
          <w:szCs w:val="22"/>
          <w:lang w:eastAsia="nl-NL"/>
        </w:rPr>
        <w:t>seven</w:t>
      </w:r>
      <w:r w:rsidR="00F90860"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periodic newsletters, which are intended to inform all reporting entities of current developments in the field of suppressing ML</w:t>
      </w:r>
      <w:r w:rsidR="00F90860">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1"/>
      </w:r>
      <w:r w:rsidRPr="009A6F89">
        <w:rPr>
          <w:rFonts w:ascii="Calibri" w:eastAsia="Times New Roman" w:hAnsi="Calibri"/>
          <w:sz w:val="22"/>
          <w:szCs w:val="22"/>
          <w:lang w:eastAsia="nl-NL"/>
        </w:rPr>
        <w:t xml:space="preserve"> The FIU receives feedback from the competent PPO on the outcome of investigated or convicted cases </w:t>
      </w:r>
      <w:r>
        <w:rPr>
          <w:rFonts w:ascii="Calibri" w:eastAsia="Times New Roman" w:hAnsi="Calibri"/>
          <w:sz w:val="22"/>
          <w:szCs w:val="22"/>
          <w:lang w:eastAsia="nl-NL"/>
        </w:rPr>
        <w:t xml:space="preserve">to which </w:t>
      </w:r>
      <w:r w:rsidRPr="009A6F89">
        <w:rPr>
          <w:rFonts w:ascii="Calibri" w:eastAsia="Times New Roman" w:hAnsi="Calibri"/>
          <w:sz w:val="22"/>
          <w:szCs w:val="22"/>
          <w:lang w:eastAsia="nl-NL"/>
        </w:rPr>
        <w:t xml:space="preserve">the FIU </w:t>
      </w:r>
      <w:r w:rsidR="00F90860">
        <w:rPr>
          <w:rFonts w:ascii="Calibri" w:eastAsia="Times New Roman" w:hAnsi="Calibri"/>
          <w:sz w:val="22"/>
          <w:szCs w:val="22"/>
          <w:lang w:eastAsia="nl-NL"/>
        </w:rPr>
        <w:t xml:space="preserve">has </w:t>
      </w:r>
      <w:r w:rsidRPr="009A6F89">
        <w:rPr>
          <w:rFonts w:ascii="Calibri" w:eastAsia="Times New Roman" w:hAnsi="Calibri"/>
          <w:sz w:val="22"/>
          <w:szCs w:val="22"/>
          <w:lang w:eastAsia="nl-NL"/>
        </w:rPr>
        <w:t>contributed</w:t>
      </w:r>
      <w:r>
        <w:rPr>
          <w:rFonts w:ascii="Calibri" w:eastAsia="Times New Roman" w:hAnsi="Calibri"/>
          <w:sz w:val="22"/>
          <w:szCs w:val="22"/>
          <w:lang w:eastAsia="nl-NL"/>
        </w:rPr>
        <w:t xml:space="preserve"> in the form of</w:t>
      </w:r>
      <w:r w:rsidRPr="009A6F89">
        <w:rPr>
          <w:rFonts w:ascii="Calibri" w:eastAsia="Times New Roman" w:hAnsi="Calibri"/>
          <w:sz w:val="22"/>
          <w:szCs w:val="22"/>
          <w:lang w:eastAsia="nl-NL"/>
        </w:rPr>
        <w:t xml:space="preserve"> a copy of the indictment</w:t>
      </w:r>
      <w:r>
        <w:rPr>
          <w:rFonts w:ascii="Calibri" w:eastAsia="Times New Roman" w:hAnsi="Calibri"/>
          <w:sz w:val="22"/>
          <w:szCs w:val="22"/>
          <w:lang w:eastAsia="nl-NL"/>
        </w:rPr>
        <w:t xml:space="preserve"> and</w:t>
      </w:r>
      <w:r w:rsidRPr="009A6F89">
        <w:rPr>
          <w:rFonts w:ascii="Calibri" w:eastAsia="Times New Roman" w:hAnsi="Calibri"/>
          <w:sz w:val="22"/>
          <w:szCs w:val="22"/>
          <w:lang w:eastAsia="nl-NL"/>
        </w:rPr>
        <w:t xml:space="preserve"> the reason for dismissal or the verdict. The FIU can disclose information hereby acquired </w:t>
      </w:r>
      <w:r w:rsidR="00F90860">
        <w:rPr>
          <w:rFonts w:ascii="Calibri" w:eastAsia="Times New Roman" w:hAnsi="Calibri"/>
          <w:sz w:val="22"/>
          <w:szCs w:val="22"/>
          <w:lang w:eastAsia="nl-NL"/>
        </w:rPr>
        <w:t>to</w:t>
      </w:r>
      <w:r w:rsidR="00F90860"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reporting entities or </w:t>
      </w:r>
      <w:r w:rsidR="00F90860">
        <w:rPr>
          <w:rFonts w:ascii="Calibri" w:eastAsia="Times New Roman" w:hAnsi="Calibri"/>
          <w:sz w:val="22"/>
          <w:szCs w:val="22"/>
          <w:lang w:eastAsia="nl-NL"/>
        </w:rPr>
        <w:t>to</w:t>
      </w:r>
      <w:r w:rsidR="00F90860"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 institutions providing the intelligence on which the criminal cases or investigation was based. The FIU will do so at their request</w:t>
      </w:r>
      <w:r w:rsidR="00F90860">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2"/>
      </w:r>
      <w:r w:rsidRPr="009A6F89">
        <w:rPr>
          <w:rFonts w:ascii="Calibri" w:eastAsia="Times New Roman" w:hAnsi="Calibri"/>
          <w:sz w:val="22"/>
          <w:szCs w:val="22"/>
          <w:lang w:eastAsia="nl-NL"/>
        </w:rPr>
        <w:t xml:space="preserve"> and with the purpose of allowing the reporting parties to improve their reporting. The data ha</w:t>
      </w:r>
      <w:r>
        <w:rPr>
          <w:rFonts w:ascii="Calibri" w:eastAsia="Times New Roman" w:hAnsi="Calibri"/>
          <w:sz w:val="22"/>
          <w:szCs w:val="22"/>
          <w:lang w:eastAsia="nl-NL"/>
        </w:rPr>
        <w:t xml:space="preserve">ve </w:t>
      </w:r>
      <w:r w:rsidRPr="009A6F89">
        <w:rPr>
          <w:rFonts w:ascii="Calibri" w:eastAsia="Times New Roman" w:hAnsi="Calibri"/>
          <w:sz w:val="22"/>
          <w:szCs w:val="22"/>
          <w:lang w:eastAsia="nl-NL"/>
        </w:rPr>
        <w:t>to be destroyed by the reporting entities once no longer useful. Furthermore, AML</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CTF compliance officers have access to the password protected secure area of the FIU website. They have access to the STR form together with instructions for use. This ensures a safe online reporting option for AML/CTF compliance officers. Moreover, after wide consultation, the German FIU has developed a standard reporting form, </w:t>
      </w:r>
      <w:r w:rsidRPr="009A6F89">
        <w:rPr>
          <w:rFonts w:ascii="Calibri" w:eastAsia="Times New Roman" w:hAnsi="Calibri" w:cs="Calibri"/>
          <w:sz w:val="22"/>
          <w:szCs w:val="22"/>
          <w:lang w:eastAsia="nl-NL"/>
        </w:rPr>
        <w:t>wh</w:t>
      </w:r>
      <w:r w:rsidRPr="009A6F89">
        <w:rPr>
          <w:rFonts w:ascii="Calibri" w:eastAsia="Times New Roman" w:hAnsi="Calibri"/>
          <w:sz w:val="22"/>
          <w:szCs w:val="22"/>
          <w:lang w:eastAsia="nl-NL"/>
        </w:rPr>
        <w:t xml:space="preserve">ich was published in the Annual Report of 2004. This form has instructions </w:t>
      </w:r>
      <w:r w:rsidR="00B20293">
        <w:rPr>
          <w:rFonts w:ascii="Calibri" w:eastAsia="Times New Roman" w:hAnsi="Calibri"/>
          <w:sz w:val="22"/>
          <w:szCs w:val="22"/>
          <w:lang w:eastAsia="nl-NL"/>
        </w:rPr>
        <w:t>regarding</w:t>
      </w:r>
      <w:r w:rsidR="00B20293" w:rsidRPr="009A6F89">
        <w:rPr>
          <w:rFonts w:ascii="Calibri" w:eastAsia="Times New Roman" w:hAnsi="Calibri"/>
          <w:sz w:val="22"/>
          <w:szCs w:val="22"/>
          <w:lang w:eastAsia="nl-NL"/>
        </w:rPr>
        <w:t xml:space="preserve"> </w:t>
      </w:r>
      <w:r w:rsidR="00B20293">
        <w:rPr>
          <w:rFonts w:ascii="Calibri" w:eastAsia="Times New Roman" w:hAnsi="Calibri"/>
          <w:sz w:val="22"/>
          <w:szCs w:val="22"/>
          <w:lang w:eastAsia="nl-NL"/>
        </w:rPr>
        <w:t xml:space="preserve">its </w:t>
      </w:r>
      <w:r w:rsidRPr="009A6F89">
        <w:rPr>
          <w:rFonts w:ascii="Calibri" w:eastAsia="Times New Roman" w:hAnsi="Calibri"/>
          <w:sz w:val="22"/>
          <w:szCs w:val="22"/>
          <w:lang w:eastAsia="nl-NL"/>
        </w:rPr>
        <w:t>completi</w:t>
      </w:r>
      <w:r w:rsidR="00B20293">
        <w:rPr>
          <w:rFonts w:ascii="Calibri" w:eastAsia="Times New Roman" w:hAnsi="Calibri"/>
          <w:sz w:val="22"/>
          <w:szCs w:val="22"/>
          <w:lang w:eastAsia="nl-NL"/>
        </w:rPr>
        <w:t>on</w:t>
      </w:r>
      <w:r w:rsidRPr="009A6F89">
        <w:rPr>
          <w:rFonts w:ascii="Calibri" w:eastAsia="Times New Roman" w:hAnsi="Calibri"/>
          <w:sz w:val="22"/>
          <w:szCs w:val="22"/>
          <w:lang w:eastAsia="nl-NL"/>
        </w:rPr>
        <w:t>, but REs are not obliged to use it. According to FATF (2010</w:t>
      </w:r>
      <w:r w:rsidR="00F90860">
        <w:rPr>
          <w:rFonts w:ascii="Calibri" w:eastAsia="Times New Roman" w:hAnsi="Calibri"/>
          <w:sz w:val="22"/>
          <w:szCs w:val="22"/>
          <w:lang w:eastAsia="nl-NL"/>
        </w:rPr>
        <w:t>e</w:t>
      </w:r>
      <w:r w:rsidRPr="009A6F89">
        <w:rPr>
          <w:rFonts w:ascii="Calibri" w:eastAsia="Times New Roman" w:hAnsi="Calibri"/>
          <w:sz w:val="22"/>
          <w:szCs w:val="22"/>
          <w:lang w:eastAsia="nl-NL"/>
        </w:rPr>
        <w:t>)</w:t>
      </w:r>
      <w:r w:rsidR="00F90860">
        <w:rPr>
          <w:rFonts w:ascii="Calibri" w:eastAsia="Times New Roman" w:hAnsi="Calibri"/>
          <w:sz w:val="22"/>
          <w:szCs w:val="22"/>
          <w:lang w:eastAsia="nl-NL"/>
        </w:rPr>
        <w:t>,</w:t>
      </w:r>
      <w:r w:rsidRPr="009A6F89">
        <w:rPr>
          <w:rFonts w:ascii="Calibri" w:eastAsia="Times New Roman" w:hAnsi="Calibri"/>
          <w:sz w:val="22"/>
          <w:szCs w:val="22"/>
          <w:lang w:eastAsia="nl-NL"/>
        </w:rPr>
        <w:t xml:space="preserve"> only about half of reporting entities use this format and there are no plans to make the standard format mandatory despite the very clear efficiency gains (less time consuming registration of STRs, fewer staff costs, more cumbersome analysis etc</w:t>
      </w:r>
      <w:r>
        <w:rPr>
          <w:rFonts w:ascii="Calibri" w:eastAsia="Times New Roman" w:hAnsi="Calibri"/>
          <w:sz w:val="22"/>
          <w:szCs w:val="22"/>
          <w:lang w:eastAsia="nl-NL"/>
        </w:rPr>
        <w:t>.</w:t>
      </w:r>
      <w:r w:rsidRPr="009A6F89">
        <w:rPr>
          <w:rFonts w:ascii="Calibri" w:eastAsia="Times New Roman" w:hAnsi="Calibri"/>
          <w:sz w:val="22"/>
          <w:szCs w:val="22"/>
          <w:lang w:eastAsia="nl-NL"/>
        </w:rPr>
        <w:t>). Finally, the FIU provides presentations and training to specific target groups (reporting entities, law enforcement units, etc</w:t>
      </w:r>
      <w:r>
        <w:rPr>
          <w:rFonts w:ascii="Calibri" w:eastAsia="Times New Roman" w:hAnsi="Calibri"/>
          <w:sz w:val="22"/>
          <w:szCs w:val="22"/>
          <w:lang w:eastAsia="nl-NL"/>
        </w:rPr>
        <w:t>.</w:t>
      </w:r>
      <w:r w:rsidRPr="009A6F89">
        <w:rPr>
          <w:rFonts w:ascii="Calibri" w:eastAsia="Times New Roman" w:hAnsi="Calibri"/>
          <w:sz w:val="22"/>
          <w:szCs w:val="22"/>
          <w:lang w:eastAsia="nl-NL"/>
        </w:rPr>
        <w:t>). According to the FIU 2011 report, the number of presentations and participation in training courses are kept at a high level</w:t>
      </w:r>
      <w:r w:rsidR="00F90860">
        <w:rPr>
          <w:rFonts w:ascii="Calibri" w:eastAsia="Times New Roman" w:hAnsi="Calibri"/>
          <w:sz w:val="22"/>
          <w:szCs w:val="22"/>
          <w:lang w:eastAsia="nl-NL"/>
        </w:rPr>
        <w:t>,</w:t>
      </w:r>
      <w:r w:rsidRPr="009A6F89">
        <w:rPr>
          <w:rFonts w:ascii="Calibri" w:eastAsia="Times New Roman" w:hAnsi="Calibri"/>
          <w:sz w:val="22"/>
          <w:szCs w:val="22"/>
          <w:lang w:eastAsia="nl-NL"/>
        </w:rPr>
        <w:t xml:space="preserve"> with the FIU being actively involved in 35 national and international events</w:t>
      </w:r>
      <w:r w:rsidR="00F90860">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3"/>
      </w:r>
    </w:p>
    <w:p w14:paraId="1B37E447" w14:textId="0733800F"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The</w:t>
      </w:r>
      <w:r w:rsidRPr="009A6F89">
        <w:rPr>
          <w:rFonts w:ascii="Calibri" w:hAnsi="Calibri" w:cs="Calibri"/>
          <w:b/>
          <w:sz w:val="22"/>
          <w:szCs w:val="22"/>
          <w:lang w:eastAsia="nl-NL"/>
        </w:rPr>
        <w:t xml:space="preserve"> Greek</w:t>
      </w:r>
      <w:r w:rsidRPr="009A6F89">
        <w:rPr>
          <w:rFonts w:ascii="Calibri" w:hAnsi="Calibri" w:cs="Calibri"/>
          <w:sz w:val="22"/>
          <w:szCs w:val="22"/>
          <w:lang w:eastAsia="nl-NL"/>
        </w:rPr>
        <w:t xml:space="preserve"> FIU </w:t>
      </w:r>
      <w:r>
        <w:rPr>
          <w:rFonts w:ascii="Calibri" w:hAnsi="Calibri" w:cs="Calibri"/>
          <w:sz w:val="22"/>
          <w:szCs w:val="22"/>
          <w:lang w:eastAsia="nl-NL"/>
        </w:rPr>
        <w:t>rarely</w:t>
      </w:r>
      <w:r w:rsidRPr="009A6F89">
        <w:rPr>
          <w:rFonts w:ascii="Calibri" w:hAnsi="Calibri" w:cs="Calibri"/>
          <w:sz w:val="22"/>
          <w:szCs w:val="22"/>
          <w:lang w:eastAsia="nl-NL"/>
        </w:rPr>
        <w:t xml:space="preserve"> give</w:t>
      </w:r>
      <w:r>
        <w:rPr>
          <w:rFonts w:ascii="Calibri" w:hAnsi="Calibri" w:cs="Calibri"/>
          <w:sz w:val="22"/>
          <w:szCs w:val="22"/>
          <w:lang w:eastAsia="nl-NL"/>
        </w:rPr>
        <w:t>s</w:t>
      </w:r>
      <w:r w:rsidRPr="009A6F89">
        <w:rPr>
          <w:rFonts w:ascii="Calibri" w:hAnsi="Calibri" w:cs="Calibri"/>
          <w:sz w:val="22"/>
          <w:szCs w:val="22"/>
          <w:lang w:eastAsia="nl-NL"/>
        </w:rPr>
        <w:t xml:space="preserve"> individual (case-by-case) training to obliged entities. According to the Greek representative, too much emphasis on this could prove </w:t>
      </w:r>
      <w:r>
        <w:rPr>
          <w:rFonts w:ascii="Calibri" w:hAnsi="Calibri" w:cs="Calibri"/>
          <w:sz w:val="22"/>
          <w:szCs w:val="22"/>
          <w:lang w:eastAsia="nl-NL"/>
        </w:rPr>
        <w:t>counter to</w:t>
      </w:r>
      <w:r w:rsidRPr="009A6F89">
        <w:rPr>
          <w:rFonts w:ascii="Calibri" w:hAnsi="Calibri" w:cs="Calibri"/>
          <w:sz w:val="22"/>
          <w:szCs w:val="22"/>
          <w:lang w:eastAsia="nl-NL"/>
        </w:rPr>
        <w:t xml:space="preserve"> its purpose. The FIU</w:t>
      </w:r>
      <w:r w:rsidR="005628F1">
        <w:rPr>
          <w:rFonts w:ascii="Calibri" w:hAnsi="Calibri" w:cs="Calibri"/>
          <w:sz w:val="22"/>
          <w:szCs w:val="22"/>
          <w:lang w:eastAsia="nl-NL"/>
        </w:rPr>
        <w:t>,</w:t>
      </w:r>
      <w:r w:rsidRPr="009A6F89">
        <w:rPr>
          <w:rFonts w:ascii="Calibri" w:hAnsi="Calibri" w:cs="Calibri"/>
          <w:sz w:val="22"/>
          <w:szCs w:val="22"/>
          <w:lang w:eastAsia="nl-NL"/>
        </w:rPr>
        <w:t xml:space="preserve"> however, gives extensive general guidance. It </w:t>
      </w:r>
      <w:r w:rsidR="005628F1">
        <w:rPr>
          <w:rFonts w:ascii="Calibri" w:hAnsi="Calibri" w:cs="Calibri"/>
          <w:sz w:val="22"/>
          <w:szCs w:val="22"/>
          <w:lang w:eastAsia="nl-NL"/>
        </w:rPr>
        <w:t xml:space="preserve">has </w:t>
      </w:r>
      <w:r w:rsidRPr="009A6F89">
        <w:rPr>
          <w:rFonts w:ascii="Calibri" w:hAnsi="Calibri" w:cs="Calibri"/>
          <w:sz w:val="22"/>
          <w:szCs w:val="22"/>
          <w:lang w:eastAsia="nl-NL"/>
        </w:rPr>
        <w:t>published several models of best practice in the AML/CTF fight in different economic sectors (i.e. the securities sector, the casino sector, the football sector, the real estate sector etc</w:t>
      </w:r>
      <w:r>
        <w:rPr>
          <w:rFonts w:ascii="Calibri" w:hAnsi="Calibri" w:cs="Calibri"/>
          <w:sz w:val="22"/>
          <w:szCs w:val="22"/>
          <w:lang w:eastAsia="nl-NL"/>
        </w:rPr>
        <w:t>.</w:t>
      </w:r>
      <w:r w:rsidRPr="009A6F89">
        <w:rPr>
          <w:rFonts w:ascii="Calibri" w:hAnsi="Calibri" w:cs="Calibri"/>
          <w:sz w:val="22"/>
          <w:szCs w:val="22"/>
          <w:lang w:eastAsia="nl-NL"/>
        </w:rPr>
        <w:t xml:space="preserve">). Since 2010, the FIU started publishing typologies on ML and TF in </w:t>
      </w:r>
      <w:r w:rsidRPr="009A6F89">
        <w:rPr>
          <w:rFonts w:ascii="Calibri" w:hAnsi="Calibri" w:cs="Calibri"/>
          <w:sz w:val="22"/>
          <w:szCs w:val="22"/>
          <w:lang w:eastAsia="nl-NL"/>
        </w:rPr>
        <w:lastRenderedPageBreak/>
        <w:t>its annual reports (</w:t>
      </w:r>
      <w:r>
        <w:rPr>
          <w:rFonts w:ascii="Calibri" w:hAnsi="Calibri" w:cs="Calibri"/>
          <w:sz w:val="22"/>
          <w:szCs w:val="22"/>
          <w:lang w:eastAsia="nl-NL"/>
        </w:rPr>
        <w:t>although these</w:t>
      </w:r>
      <w:r w:rsidRPr="009A6F89">
        <w:rPr>
          <w:rFonts w:ascii="Calibri" w:hAnsi="Calibri" w:cs="Calibri"/>
          <w:sz w:val="22"/>
          <w:szCs w:val="22"/>
          <w:lang w:eastAsia="nl-NL"/>
        </w:rPr>
        <w:t xml:space="preserve"> could not be found online). Furthermore, the FIU has a comprehensive website where reporting entities can report online through a secure connection. </w:t>
      </w:r>
    </w:p>
    <w:p w14:paraId="4A3D2859" w14:textId="45582BB3" w:rsidR="006D4083" w:rsidRPr="009A6F89" w:rsidRDefault="006D4083" w:rsidP="006D4083">
      <w:pPr>
        <w:spacing w:after="200"/>
        <w:jc w:val="both"/>
        <w:rPr>
          <w:rFonts w:ascii="Calibri" w:eastAsia="Times New Roman" w:hAnsi="Calibri"/>
          <w:sz w:val="22"/>
          <w:szCs w:val="22"/>
          <w:lang w:eastAsia="nl-NL"/>
        </w:rPr>
      </w:pPr>
      <w:r w:rsidRPr="009A6F89">
        <w:rPr>
          <w:rFonts w:ascii="Calibri" w:hAnsi="Calibri" w:cs="Calibri"/>
          <w:sz w:val="22"/>
          <w:szCs w:val="22"/>
          <w:lang w:eastAsia="nl-NL"/>
        </w:rPr>
        <w:t>On the manner o</w:t>
      </w:r>
      <w:r>
        <w:rPr>
          <w:rFonts w:ascii="Calibri" w:hAnsi="Calibri" w:cs="Calibri"/>
          <w:sz w:val="22"/>
          <w:szCs w:val="22"/>
          <w:lang w:eastAsia="nl-NL"/>
        </w:rPr>
        <w:t xml:space="preserve">f </w:t>
      </w:r>
      <w:r w:rsidRPr="009A6F89">
        <w:rPr>
          <w:rFonts w:ascii="Calibri" w:hAnsi="Calibri" w:cs="Calibri"/>
          <w:sz w:val="22"/>
          <w:szCs w:val="22"/>
          <w:lang w:eastAsia="nl-NL"/>
        </w:rPr>
        <w:t xml:space="preserve">reporting, the </w:t>
      </w:r>
      <w:r w:rsidRPr="0018503F">
        <w:rPr>
          <w:rFonts w:ascii="Calibri" w:hAnsi="Calibri" w:cs="Calibri"/>
          <w:b/>
          <w:sz w:val="22"/>
          <w:szCs w:val="22"/>
          <w:lang w:eastAsia="nl-NL"/>
        </w:rPr>
        <w:t>Hungarian</w:t>
      </w:r>
      <w:r w:rsidRPr="009A6F89">
        <w:rPr>
          <w:rFonts w:ascii="Calibri" w:hAnsi="Calibri" w:cs="Calibri"/>
          <w:sz w:val="22"/>
          <w:szCs w:val="22"/>
          <w:lang w:eastAsia="nl-NL"/>
        </w:rPr>
        <w:t xml:space="preserve"> FIU is obliged</w:t>
      </w:r>
      <w:r>
        <w:rPr>
          <w:rFonts w:ascii="Calibri" w:hAnsi="Calibri" w:cs="Calibri"/>
          <w:sz w:val="22"/>
          <w:szCs w:val="22"/>
          <w:lang w:eastAsia="nl-NL"/>
        </w:rPr>
        <w:t>,</w:t>
      </w:r>
      <w:r w:rsidRPr="009A6F89">
        <w:rPr>
          <w:rFonts w:ascii="Calibri" w:hAnsi="Calibri" w:cs="Calibri"/>
          <w:sz w:val="22"/>
          <w:szCs w:val="22"/>
          <w:lang w:eastAsia="nl-NL"/>
        </w:rPr>
        <w:t xml:space="preserve"> together with the supervisory authorities</w:t>
      </w:r>
      <w:r>
        <w:rPr>
          <w:rFonts w:ascii="Calibri" w:hAnsi="Calibri" w:cs="Calibri"/>
          <w:sz w:val="22"/>
          <w:szCs w:val="22"/>
          <w:lang w:eastAsia="nl-NL"/>
        </w:rPr>
        <w:t xml:space="preserve">, </w:t>
      </w:r>
      <w:r w:rsidRPr="009A6F89">
        <w:rPr>
          <w:rFonts w:ascii="Calibri" w:hAnsi="Calibri" w:cs="Calibri"/>
          <w:sz w:val="22"/>
          <w:szCs w:val="22"/>
          <w:lang w:eastAsia="nl-NL"/>
        </w:rPr>
        <w:t xml:space="preserve">to guide the reporting entities. The HFIU </w:t>
      </w:r>
      <w:r w:rsidR="005628F1">
        <w:rPr>
          <w:rFonts w:ascii="Calibri" w:hAnsi="Calibri" w:cs="Calibri"/>
          <w:sz w:val="22"/>
          <w:szCs w:val="22"/>
          <w:lang w:eastAsia="nl-NL"/>
        </w:rPr>
        <w:t xml:space="preserve">has </w:t>
      </w:r>
      <w:r w:rsidRPr="009A6F89">
        <w:rPr>
          <w:rFonts w:ascii="Calibri" w:hAnsi="Calibri" w:cs="Calibri"/>
          <w:sz w:val="22"/>
          <w:szCs w:val="22"/>
          <w:lang w:eastAsia="nl-NL"/>
        </w:rPr>
        <w:t xml:space="preserve">published a detailed technical guide for the reporting entities on its website and, according to </w:t>
      </w:r>
      <w:r w:rsidR="005628F1" w:rsidRPr="009A6F89">
        <w:rPr>
          <w:rFonts w:ascii="Calibri" w:hAnsi="Calibri" w:cs="Calibri"/>
          <w:sz w:val="22"/>
          <w:szCs w:val="22"/>
          <w:lang w:eastAsia="nl-NL"/>
        </w:rPr>
        <w:t>MONEYVAL</w:t>
      </w:r>
      <w:r w:rsidRPr="009A6F89">
        <w:rPr>
          <w:rFonts w:ascii="Calibri" w:hAnsi="Calibri" w:cs="Calibri"/>
          <w:sz w:val="22"/>
          <w:szCs w:val="22"/>
          <w:lang w:eastAsia="nl-NL"/>
        </w:rPr>
        <w:t xml:space="preserve"> (2010</w:t>
      </w:r>
      <w:r w:rsidR="000A4C8F">
        <w:rPr>
          <w:rFonts w:ascii="Calibri" w:hAnsi="Calibri" w:cs="Calibri"/>
          <w:sz w:val="22"/>
          <w:szCs w:val="22"/>
          <w:lang w:eastAsia="nl-NL"/>
        </w:rPr>
        <w:t>c</w:t>
      </w:r>
      <w:r w:rsidRPr="009A6F89">
        <w:rPr>
          <w:rFonts w:ascii="Calibri" w:hAnsi="Calibri" w:cs="Calibri"/>
          <w:sz w:val="22"/>
          <w:szCs w:val="22"/>
          <w:lang w:eastAsia="nl-NL"/>
        </w:rPr>
        <w:t>)</w:t>
      </w:r>
      <w:r>
        <w:rPr>
          <w:rFonts w:ascii="Calibri" w:hAnsi="Calibri" w:cs="Calibri"/>
          <w:sz w:val="22"/>
          <w:szCs w:val="22"/>
          <w:lang w:eastAsia="nl-NL"/>
        </w:rPr>
        <w:t>,</w:t>
      </w:r>
      <w:r w:rsidRPr="009A6F89">
        <w:rPr>
          <w:rFonts w:ascii="Calibri" w:hAnsi="Calibri" w:cs="Calibri"/>
          <w:sz w:val="22"/>
          <w:szCs w:val="22"/>
          <w:lang w:eastAsia="nl-NL"/>
        </w:rPr>
        <w:t xml:space="preserve"> staff </w:t>
      </w:r>
      <w:r>
        <w:rPr>
          <w:rFonts w:ascii="Calibri" w:hAnsi="Calibri" w:cs="Calibri"/>
          <w:sz w:val="22"/>
          <w:szCs w:val="22"/>
          <w:lang w:eastAsia="nl-NL"/>
        </w:rPr>
        <w:t xml:space="preserve">are </w:t>
      </w:r>
      <w:r w:rsidRPr="009A6F89">
        <w:rPr>
          <w:rFonts w:ascii="Calibri" w:hAnsi="Calibri" w:cs="Calibri"/>
          <w:sz w:val="22"/>
          <w:szCs w:val="22"/>
          <w:lang w:eastAsia="nl-NL"/>
        </w:rPr>
        <w:t xml:space="preserve">designated to run a helpdesk for the reporting entities. Also, the supervisory authorities have published </w:t>
      </w:r>
      <w:r w:rsidRPr="009A6F89">
        <w:rPr>
          <w:rFonts w:ascii="Calibri" w:eastAsia="Times New Roman" w:hAnsi="Calibri"/>
          <w:sz w:val="22"/>
          <w:szCs w:val="22"/>
          <w:lang w:eastAsia="nl-NL"/>
        </w:rPr>
        <w:t xml:space="preserve">model rules that lay down typologies on unusual transactions, and </w:t>
      </w:r>
      <w:r w:rsidR="005628F1" w:rsidRPr="005628F1">
        <w:rPr>
          <w:rFonts w:ascii="Calibri" w:eastAsia="Times New Roman" w:hAnsi="Calibri"/>
          <w:sz w:val="22"/>
          <w:szCs w:val="22"/>
          <w:lang w:eastAsia="nl-NL"/>
        </w:rPr>
        <w:t xml:space="preserve">twice a year </w:t>
      </w:r>
      <w:r w:rsidRPr="009A6F89">
        <w:rPr>
          <w:rFonts w:ascii="Calibri" w:eastAsia="Times New Roman" w:hAnsi="Calibri"/>
          <w:sz w:val="22"/>
          <w:szCs w:val="22"/>
          <w:lang w:eastAsia="nl-NL"/>
        </w:rPr>
        <w:t>the HFIU publishes a report on its website – with statistics, as well as guidance on typologies.</w:t>
      </w:r>
      <w:r w:rsidRPr="009A6F89">
        <w:rPr>
          <w:rFonts w:ascii="Calibri" w:eastAsia="Times New Roman" w:hAnsi="Calibri"/>
          <w:sz w:val="22"/>
          <w:szCs w:val="22"/>
          <w:vertAlign w:val="superscript"/>
          <w:lang w:eastAsia="nl-NL"/>
        </w:rPr>
        <w:footnoteReference w:id="14"/>
      </w:r>
      <w:r w:rsidRPr="009A6F89">
        <w:rPr>
          <w:rFonts w:ascii="Calibri" w:eastAsia="Times New Roman" w:hAnsi="Calibri"/>
          <w:sz w:val="22"/>
          <w:szCs w:val="22"/>
          <w:lang w:eastAsia="nl-NL"/>
        </w:rPr>
        <w:t xml:space="preserve"> Finally, HFIU provides feedback of a general nature to reporting entities (including a letter of acknowledgement on each STR)</w:t>
      </w:r>
      <w:r w:rsidR="005628F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5"/>
      </w:r>
      <w:r w:rsidRPr="009A6F89">
        <w:rPr>
          <w:rFonts w:ascii="Calibri" w:eastAsia="Times New Roman" w:hAnsi="Calibri"/>
          <w:sz w:val="22"/>
          <w:szCs w:val="22"/>
          <w:lang w:eastAsia="nl-NL"/>
        </w:rPr>
        <w:t xml:space="preserve"> Besides this general feedback</w:t>
      </w:r>
      <w:r w:rsidR="005628F1">
        <w:rPr>
          <w:rFonts w:ascii="Calibri" w:eastAsia="Times New Roman" w:hAnsi="Calibri"/>
          <w:sz w:val="22"/>
          <w:szCs w:val="22"/>
          <w:lang w:eastAsia="nl-NL"/>
        </w:rPr>
        <w:t>,</w:t>
      </w:r>
      <w:r w:rsidRPr="009A6F89">
        <w:rPr>
          <w:rFonts w:ascii="Calibri" w:eastAsia="Times New Roman" w:hAnsi="Calibri"/>
          <w:sz w:val="22"/>
          <w:szCs w:val="22"/>
          <w:lang w:eastAsia="nl-NL"/>
        </w:rPr>
        <w:t xml:space="preserve"> HFIU notifies them on the use of information gathered unless it has the potential to compromise a successful procedure.</w:t>
      </w:r>
      <w:r w:rsidRPr="009A6F89">
        <w:rPr>
          <w:rFonts w:ascii="Calibri" w:eastAsia="Times New Roman" w:hAnsi="Calibri"/>
          <w:sz w:val="22"/>
          <w:szCs w:val="22"/>
          <w:vertAlign w:val="superscript"/>
          <w:lang w:eastAsia="nl-NL"/>
        </w:rPr>
        <w:footnoteReference w:id="16"/>
      </w:r>
    </w:p>
    <w:p w14:paraId="2741ACC9" w14:textId="740C1AF2"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w:t>
      </w:r>
      <w:r w:rsidRPr="009A6F89">
        <w:rPr>
          <w:rFonts w:ascii="Calibri" w:eastAsia="Times New Roman" w:hAnsi="Calibri"/>
          <w:b/>
          <w:sz w:val="22"/>
          <w:szCs w:val="22"/>
          <w:lang w:eastAsia="nl-NL"/>
        </w:rPr>
        <w:t>Ireland</w:t>
      </w:r>
      <w:r w:rsidRPr="009A6F89">
        <w:rPr>
          <w:rFonts w:ascii="Calibri" w:eastAsia="Times New Roman" w:hAnsi="Calibri"/>
          <w:sz w:val="22"/>
          <w:szCs w:val="22"/>
          <w:lang w:eastAsia="nl-NL"/>
        </w:rPr>
        <w:t xml:space="preserve">, all reporting institutions receive an acknowledgement from </w:t>
      </w:r>
      <w:r>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FIU and the Revenue Commissioners that their STRs have been received. There is a specific format in which STRs must be submitted to the FIU and Revenue Commissioners. According to the Irish representative, the prescribed format is meant as guidance, </w:t>
      </w:r>
      <w:r w:rsidR="00F355C6">
        <w:rPr>
          <w:rFonts w:ascii="Calibri" w:eastAsia="Times New Roman" w:hAnsi="Calibri"/>
          <w:sz w:val="22"/>
          <w:szCs w:val="22"/>
          <w:lang w:eastAsia="nl-NL"/>
        </w:rPr>
        <w:t>since</w:t>
      </w:r>
      <w:r w:rsidR="00F355C6"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it is not an offence </w:t>
      </w:r>
      <w:r w:rsidR="00F355C6" w:rsidRPr="00F355C6">
        <w:rPr>
          <w:rFonts w:ascii="Calibri" w:eastAsia="Times New Roman" w:hAnsi="Calibri"/>
          <w:sz w:val="22"/>
          <w:szCs w:val="22"/>
          <w:lang w:eastAsia="nl-NL"/>
        </w:rPr>
        <w:t xml:space="preserve">not </w:t>
      </w:r>
      <w:r w:rsidRPr="009A6F89">
        <w:rPr>
          <w:rFonts w:ascii="Calibri" w:eastAsia="Times New Roman" w:hAnsi="Calibri"/>
          <w:sz w:val="22"/>
          <w:szCs w:val="22"/>
          <w:lang w:eastAsia="nl-NL"/>
        </w:rPr>
        <w:t xml:space="preserve">to follow the prescribed format in reporting. If this is the case, </w:t>
      </w:r>
      <w:r w:rsidR="00F355C6">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FIU and Revenue will simply call the reporting institution</w:t>
      </w:r>
      <w:r w:rsidR="00F355C6">
        <w:rPr>
          <w:rFonts w:ascii="Calibri" w:eastAsia="Times New Roman" w:hAnsi="Calibri"/>
          <w:sz w:val="22"/>
          <w:szCs w:val="22"/>
          <w:lang w:eastAsia="nl-NL"/>
        </w:rPr>
        <w:t>,</w:t>
      </w:r>
      <w:r w:rsidRPr="009A6F89">
        <w:rPr>
          <w:rFonts w:ascii="Calibri" w:eastAsia="Times New Roman" w:hAnsi="Calibri"/>
          <w:sz w:val="22"/>
          <w:szCs w:val="22"/>
          <w:lang w:eastAsia="nl-NL"/>
        </w:rPr>
        <w:t xml:space="preserve"> requesting more information or </w:t>
      </w:r>
      <w:r w:rsidR="00F355C6">
        <w:rPr>
          <w:rFonts w:ascii="Calibri" w:eastAsia="Times New Roman" w:hAnsi="Calibri"/>
          <w:sz w:val="22"/>
          <w:szCs w:val="22"/>
          <w:lang w:eastAsia="nl-NL"/>
        </w:rPr>
        <w:t>for</w:t>
      </w:r>
      <w:r w:rsidR="00F355C6"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form </w:t>
      </w:r>
      <w:r w:rsidR="00F355C6">
        <w:rPr>
          <w:rFonts w:ascii="Calibri" w:eastAsia="Times New Roman" w:hAnsi="Calibri"/>
          <w:sz w:val="22"/>
          <w:szCs w:val="22"/>
          <w:lang w:eastAsia="nl-NL"/>
        </w:rPr>
        <w:t>to be filled in</w:t>
      </w:r>
      <w:r w:rsidR="00F355C6"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appropriately. The Irish FIU representative </w:t>
      </w:r>
      <w:r>
        <w:rPr>
          <w:rFonts w:ascii="Calibri" w:eastAsia="Times New Roman" w:hAnsi="Calibri"/>
          <w:sz w:val="22"/>
          <w:szCs w:val="22"/>
          <w:lang w:eastAsia="nl-NL"/>
        </w:rPr>
        <w:t>stat</w:t>
      </w:r>
      <w:r w:rsidRPr="009A6F89">
        <w:rPr>
          <w:rFonts w:ascii="Calibri" w:eastAsia="Times New Roman" w:hAnsi="Calibri"/>
          <w:sz w:val="22"/>
          <w:szCs w:val="22"/>
          <w:lang w:eastAsia="nl-NL"/>
        </w:rPr>
        <w:t>es that the FIU does not give feedback to the reporting entities while it is investigating an STR.</w:t>
      </w:r>
      <w:r w:rsidR="0000585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Feedback is aggregated and given to the reporting entities every six months. In this feedback the status of the case is explained (under criminal investigation – hence done by </w:t>
      </w:r>
      <w:r w:rsidR="00F355C6">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Garda, or under prosecution etc</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to the reporting institution. The Irish FIU can give such specific feedback, because a </w:t>
      </w:r>
      <w:r>
        <w:rPr>
          <w:rFonts w:ascii="Calibri" w:eastAsia="Times New Roman" w:hAnsi="Calibri"/>
          <w:sz w:val="22"/>
          <w:szCs w:val="22"/>
          <w:lang w:eastAsia="nl-NL"/>
        </w:rPr>
        <w:t xml:space="preserve">large proportion </w:t>
      </w:r>
      <w:r w:rsidRPr="009A6F89">
        <w:rPr>
          <w:rFonts w:ascii="Calibri" w:eastAsia="Times New Roman" w:hAnsi="Calibri"/>
          <w:sz w:val="22"/>
          <w:szCs w:val="22"/>
          <w:lang w:eastAsia="nl-NL"/>
        </w:rPr>
        <w:t xml:space="preserve">of STRs do not end up </w:t>
      </w:r>
      <w:r w:rsidR="00F355C6">
        <w:rPr>
          <w:rFonts w:ascii="Calibri" w:eastAsia="Times New Roman" w:hAnsi="Calibri"/>
          <w:sz w:val="22"/>
          <w:szCs w:val="22"/>
          <w:lang w:eastAsia="nl-NL"/>
        </w:rPr>
        <w:t>with</w:t>
      </w:r>
      <w:r w:rsidR="00F355C6"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criminal investigation and are either forwarded to the Revenue Commissioners or stored in the STR database. The Revenue Commissioners do not give such individual feedback, but they give generic feedback in their annual meeting with financial institutions (typologies, trends, general results). According to the FIU representative, the annual report of the Irish FIU is part of the annual reports of the An Garda Síochána. This includes data provided by all other sections under the supervision of the Ministry of Justice. </w:t>
      </w:r>
    </w:p>
    <w:p w14:paraId="1D8E5551" w14:textId="3FC4E5BF"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 xml:space="preserve">Italian </w:t>
      </w:r>
      <w:r w:rsidRPr="009A6F89">
        <w:rPr>
          <w:rFonts w:ascii="Calibri" w:hAnsi="Calibri" w:cs="Calibri"/>
          <w:sz w:val="22"/>
          <w:szCs w:val="22"/>
          <w:lang w:eastAsia="nl-NL"/>
        </w:rPr>
        <w:t xml:space="preserve">FIU informs the reporting entities only when their reports have been dismissed. However, this cannot </w:t>
      </w:r>
      <w:r w:rsidR="00F355C6" w:rsidRPr="00F355C6">
        <w:rPr>
          <w:rFonts w:ascii="Calibri" w:hAnsi="Calibri" w:cs="Calibri"/>
          <w:sz w:val="22"/>
          <w:szCs w:val="22"/>
          <w:lang w:eastAsia="nl-NL"/>
        </w:rPr>
        <w:t xml:space="preserve">often </w:t>
      </w:r>
      <w:r w:rsidRPr="009A6F89">
        <w:rPr>
          <w:rFonts w:ascii="Calibri" w:hAnsi="Calibri" w:cs="Calibri"/>
          <w:sz w:val="22"/>
          <w:szCs w:val="22"/>
          <w:lang w:eastAsia="nl-NL"/>
        </w:rPr>
        <w:t xml:space="preserve">be observed, since the FIU forwards a very large share of the STRs it receives to the corresponding LEAs as it has little or no access to LEA databases. Further, the Italian </w:t>
      </w:r>
      <w:r>
        <w:rPr>
          <w:rFonts w:ascii="Calibri" w:hAnsi="Calibri" w:cs="Calibri"/>
          <w:sz w:val="22"/>
          <w:szCs w:val="22"/>
          <w:lang w:eastAsia="nl-NL"/>
        </w:rPr>
        <w:t>authorities</w:t>
      </w:r>
      <w:r w:rsidRPr="009A6F89">
        <w:rPr>
          <w:rFonts w:ascii="Calibri" w:hAnsi="Calibri" w:cs="Calibri"/>
          <w:sz w:val="22"/>
          <w:szCs w:val="22"/>
          <w:lang w:eastAsia="nl-NL"/>
        </w:rPr>
        <w:t xml:space="preserve"> argued that the FIU gives general feedback and training to the reporting entities to ensure their compliance with reporting duties. According to the Italian </w:t>
      </w:r>
      <w:r>
        <w:rPr>
          <w:rFonts w:ascii="Calibri" w:hAnsi="Calibri" w:cs="Calibri"/>
          <w:sz w:val="22"/>
          <w:szCs w:val="22"/>
          <w:lang w:eastAsia="nl-NL"/>
        </w:rPr>
        <w:t>authorities</w:t>
      </w:r>
      <w:r w:rsidRPr="009A6F89">
        <w:rPr>
          <w:rFonts w:ascii="Calibri" w:hAnsi="Calibri" w:cs="Calibri"/>
          <w:sz w:val="22"/>
          <w:szCs w:val="22"/>
          <w:lang w:eastAsia="nl-NL"/>
        </w:rPr>
        <w:t>, there are plans to do more targeted training –</w:t>
      </w:r>
      <w:r w:rsidR="00F355C6">
        <w:rPr>
          <w:rFonts w:ascii="Calibri" w:hAnsi="Calibri" w:cs="Calibri"/>
          <w:sz w:val="22"/>
          <w:szCs w:val="22"/>
          <w:lang w:eastAsia="nl-NL"/>
        </w:rPr>
        <w:t xml:space="preserve"> </w:t>
      </w:r>
      <w:r w:rsidR="00F355C6" w:rsidRPr="009A6F89">
        <w:rPr>
          <w:rFonts w:ascii="Calibri" w:hAnsi="Calibri" w:cs="Calibri"/>
          <w:sz w:val="22"/>
          <w:szCs w:val="22"/>
          <w:lang w:eastAsia="nl-NL"/>
        </w:rPr>
        <w:t>risk</w:t>
      </w:r>
      <w:r w:rsidR="00F355C6">
        <w:rPr>
          <w:rFonts w:ascii="Calibri" w:hAnsi="Calibri" w:cs="Calibri"/>
          <w:sz w:val="22"/>
          <w:szCs w:val="22"/>
          <w:lang w:eastAsia="nl-NL"/>
        </w:rPr>
        <w:t>-</w:t>
      </w:r>
      <w:r w:rsidRPr="009A6F89">
        <w:rPr>
          <w:rFonts w:ascii="Calibri" w:hAnsi="Calibri" w:cs="Calibri"/>
          <w:sz w:val="22"/>
          <w:szCs w:val="22"/>
          <w:lang w:eastAsia="nl-NL"/>
        </w:rPr>
        <w:t xml:space="preserve">based training for sectors with which cooperation is more difficult. This seems to have been efficient as the number of STRs that the FIU has received in the </w:t>
      </w:r>
      <w:r w:rsidR="00F355C6">
        <w:rPr>
          <w:rFonts w:ascii="Calibri" w:hAnsi="Calibri" w:cs="Calibri"/>
          <w:sz w:val="22"/>
          <w:szCs w:val="22"/>
          <w:lang w:eastAsia="nl-NL"/>
        </w:rPr>
        <w:t>recen</w:t>
      </w:r>
      <w:r w:rsidR="00F355C6" w:rsidRPr="009A6F89">
        <w:rPr>
          <w:rFonts w:ascii="Calibri" w:hAnsi="Calibri" w:cs="Calibri"/>
          <w:sz w:val="22"/>
          <w:szCs w:val="22"/>
          <w:lang w:eastAsia="nl-NL"/>
        </w:rPr>
        <w:t xml:space="preserve">t </w:t>
      </w:r>
      <w:r w:rsidRPr="009A6F89">
        <w:rPr>
          <w:rFonts w:ascii="Calibri" w:hAnsi="Calibri" w:cs="Calibri"/>
          <w:sz w:val="22"/>
          <w:szCs w:val="22"/>
          <w:lang w:eastAsia="nl-NL"/>
        </w:rPr>
        <w:t>years has increased exponentially. Despite this increase, many of the STRs do not seem to be of satisfactory quality.</w:t>
      </w:r>
      <w:r w:rsidRPr="009A6F89">
        <w:rPr>
          <w:rFonts w:ascii="Calibri" w:hAnsi="Calibri"/>
          <w:sz w:val="22"/>
          <w:szCs w:val="22"/>
          <w:vertAlign w:val="superscript"/>
          <w:lang w:eastAsia="nl-NL"/>
        </w:rPr>
        <w:footnoteReference w:id="17"/>
      </w:r>
    </w:p>
    <w:p w14:paraId="786BC409" w14:textId="6B54FE46"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In </w:t>
      </w:r>
      <w:r w:rsidRPr="009A6F89">
        <w:rPr>
          <w:rFonts w:ascii="Calibri" w:hAnsi="Calibri" w:cs="Calibri"/>
          <w:b/>
          <w:sz w:val="22"/>
          <w:szCs w:val="22"/>
          <w:lang w:eastAsia="nl-NL"/>
        </w:rPr>
        <w:t>Latvia</w:t>
      </w:r>
      <w:r w:rsidRPr="009A6F89">
        <w:rPr>
          <w:rFonts w:ascii="Calibri" w:hAnsi="Calibri" w:cs="Calibri"/>
          <w:sz w:val="22"/>
          <w:szCs w:val="22"/>
          <w:lang w:eastAsia="nl-NL"/>
        </w:rPr>
        <w:t xml:space="preserve">, the FIU receives extensive feedback from the police on the cases the FIU </w:t>
      </w:r>
      <w:r w:rsidR="00F355C6">
        <w:rPr>
          <w:rFonts w:ascii="Calibri" w:hAnsi="Calibri" w:cs="Calibri"/>
          <w:sz w:val="22"/>
          <w:szCs w:val="22"/>
          <w:lang w:eastAsia="nl-NL"/>
        </w:rPr>
        <w:t xml:space="preserve">has </w:t>
      </w:r>
      <w:r w:rsidRPr="009A6F89">
        <w:rPr>
          <w:rFonts w:ascii="Calibri" w:hAnsi="Calibri" w:cs="Calibri"/>
          <w:sz w:val="22"/>
          <w:szCs w:val="22"/>
          <w:lang w:eastAsia="nl-NL"/>
        </w:rPr>
        <w:t xml:space="preserve">forwarded </w:t>
      </w:r>
      <w:r>
        <w:rPr>
          <w:rFonts w:ascii="Calibri" w:hAnsi="Calibri" w:cs="Calibri"/>
          <w:sz w:val="22"/>
          <w:szCs w:val="22"/>
          <w:lang w:eastAsia="nl-NL"/>
        </w:rPr>
        <w:t xml:space="preserve">to </w:t>
      </w:r>
      <w:r w:rsidRPr="009A6F89">
        <w:rPr>
          <w:rFonts w:ascii="Calibri" w:hAnsi="Calibri" w:cs="Calibri"/>
          <w:sz w:val="22"/>
          <w:szCs w:val="22"/>
          <w:lang w:eastAsia="nl-NL"/>
        </w:rPr>
        <w:t xml:space="preserve">them. Upon receiving feedback from the police (that an investigation has started or that the case has been dropped), the FIU immediately informs the reporting entity. The FIU also gives guidance and feedback to the reporting entities through annual reports. Historically, the FIU did not make its annual reports public. Annual reports were not </w:t>
      </w:r>
      <w:r>
        <w:rPr>
          <w:rFonts w:ascii="Calibri" w:hAnsi="Calibri" w:cs="Calibri"/>
          <w:sz w:val="22"/>
          <w:szCs w:val="22"/>
          <w:lang w:eastAsia="nl-NL"/>
        </w:rPr>
        <w:t xml:space="preserve">made public </w:t>
      </w:r>
      <w:r w:rsidRPr="009A6F89">
        <w:rPr>
          <w:rFonts w:ascii="Calibri" w:hAnsi="Calibri" w:cs="Calibri"/>
          <w:sz w:val="22"/>
          <w:szCs w:val="22"/>
          <w:lang w:eastAsia="nl-NL"/>
        </w:rPr>
        <w:t xml:space="preserve">until 2006 </w:t>
      </w:r>
      <w:r w:rsidR="00F355C6">
        <w:rPr>
          <w:rFonts w:ascii="Calibri" w:hAnsi="Calibri" w:cs="Calibri"/>
          <w:sz w:val="22"/>
          <w:szCs w:val="22"/>
          <w:lang w:eastAsia="nl-NL"/>
        </w:rPr>
        <w:t>since</w:t>
      </w:r>
      <w:r>
        <w:rPr>
          <w:rFonts w:ascii="Calibri" w:hAnsi="Calibri" w:cs="Calibri"/>
          <w:sz w:val="22"/>
          <w:szCs w:val="22"/>
          <w:lang w:eastAsia="nl-NL"/>
        </w:rPr>
        <w:t>, up to then,</w:t>
      </w:r>
      <w:r w:rsidRPr="009A6F89">
        <w:rPr>
          <w:rFonts w:ascii="Calibri" w:hAnsi="Calibri" w:cs="Calibri"/>
          <w:sz w:val="22"/>
          <w:szCs w:val="22"/>
          <w:lang w:eastAsia="nl-NL"/>
        </w:rPr>
        <w:t xml:space="preserve"> the FIU only reported to the PPO and to the government. </w:t>
      </w:r>
    </w:p>
    <w:p w14:paraId="594C95A3" w14:textId="77777777"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lastRenderedPageBreak/>
        <w:t xml:space="preserve">In </w:t>
      </w:r>
      <w:r w:rsidRPr="009A6F89">
        <w:rPr>
          <w:rFonts w:ascii="Calibri" w:hAnsi="Calibri" w:cs="Calibri"/>
          <w:b/>
          <w:sz w:val="22"/>
          <w:szCs w:val="22"/>
          <w:lang w:eastAsia="nl-NL"/>
        </w:rPr>
        <w:t>Lithuania</w:t>
      </w:r>
      <w:r w:rsidRPr="009A6F89">
        <w:rPr>
          <w:rFonts w:ascii="Calibri" w:hAnsi="Calibri" w:cs="Calibri"/>
          <w:sz w:val="22"/>
          <w:szCs w:val="22"/>
          <w:lang w:eastAsia="nl-NL"/>
        </w:rPr>
        <w:t xml:space="preserve"> the FIU provides guidance and feedback to the reporting entities through its annual reports. The website of the FIU also provides a comprehensive list of laws and guidelines for the reporting entities, and a secured trust phone service. </w:t>
      </w:r>
    </w:p>
    <w:p w14:paraId="6A157E88" w14:textId="43B25F94"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In terms of feedback, </w:t>
      </w:r>
      <w:r w:rsidRPr="007308A8">
        <w:rPr>
          <w:rFonts w:ascii="Calibri" w:eastAsia="Times New Roman" w:hAnsi="Calibri"/>
          <w:sz w:val="22"/>
          <w:szCs w:val="22"/>
          <w:lang w:eastAsia="nl-NL"/>
        </w:rPr>
        <w:t>FIU</w:t>
      </w:r>
      <w:r w:rsidR="000408DE">
        <w:rPr>
          <w:rFonts w:ascii="Calibri" w:eastAsia="Times New Roman" w:hAnsi="Calibri"/>
          <w:b/>
          <w:sz w:val="22"/>
          <w:szCs w:val="22"/>
          <w:lang w:eastAsia="nl-NL"/>
        </w:rPr>
        <w:t xml:space="preserve"> </w:t>
      </w:r>
      <w:r w:rsidRPr="009A6F89">
        <w:rPr>
          <w:rFonts w:ascii="Calibri" w:eastAsia="Times New Roman" w:hAnsi="Calibri"/>
          <w:b/>
          <w:sz w:val="22"/>
          <w:szCs w:val="22"/>
          <w:lang w:eastAsia="nl-NL"/>
        </w:rPr>
        <w:t>Luxembourg</w:t>
      </w:r>
      <w:r w:rsidRPr="009A6F89">
        <w:rPr>
          <w:rFonts w:ascii="Calibri" w:eastAsia="Times New Roman" w:hAnsi="Calibri"/>
          <w:sz w:val="22"/>
          <w:szCs w:val="22"/>
          <w:lang w:eastAsia="nl-NL"/>
        </w:rPr>
        <w:t xml:space="preserve"> strongly believes in motivating the reporting entities through feedback. The FIU gives a three-layer feedback to the reporting entities: a general feedback in the form of the annual report; individual annual feedback to the financial institutions and a case-by-case feedback where the FIU acknowledges receipt of the STR and</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after the case has been analysed</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mentions what has been done with the case – was it shelved, was it further investigated or prosecuted or was it used for intelligence</w:t>
      </w:r>
      <w:r w:rsidR="00C971D1">
        <w:rPr>
          <w:rFonts w:ascii="Calibri" w:eastAsia="Times New Roman" w:hAnsi="Calibri"/>
          <w:sz w:val="22"/>
          <w:szCs w:val="22"/>
          <w:lang w:eastAsia="nl-NL"/>
        </w:rPr>
        <w:t>?</w:t>
      </w:r>
      <w:r w:rsidR="0000585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Yearly, the FIU meets with bank representatives and makes a report on the STRs received from each bank through the course of the year. For these aggregated STRs the FIU describes the result of the analysis </w:t>
      </w:r>
      <w:r w:rsidR="00C971D1">
        <w:rPr>
          <w:rFonts w:ascii="Calibri" w:eastAsia="Times New Roman" w:hAnsi="Calibri"/>
          <w:sz w:val="22"/>
          <w:szCs w:val="22"/>
          <w:lang w:eastAsia="nl-NL"/>
        </w:rPr>
        <w:t xml:space="preserve">such </w:t>
      </w:r>
      <w:r w:rsidRPr="009A6F89">
        <w:rPr>
          <w:rFonts w:ascii="Calibri" w:eastAsia="Times New Roman" w:hAnsi="Calibri"/>
          <w:sz w:val="22"/>
          <w:szCs w:val="22"/>
          <w:lang w:eastAsia="nl-NL"/>
        </w:rPr>
        <w:t xml:space="preserve">as, for example, the number of cases that have been shelved, the number of cases that were forwarded </w:t>
      </w:r>
      <w:r w:rsidR="00C971D1">
        <w:rPr>
          <w:rFonts w:ascii="Calibri" w:eastAsia="Times New Roman" w:hAnsi="Calibri"/>
          <w:sz w:val="22"/>
          <w:szCs w:val="22"/>
          <w:lang w:eastAsia="nl-NL"/>
        </w:rPr>
        <w:t>for</w:t>
      </w:r>
      <w:r w:rsidR="00C971D1"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further investigation/prosecution for ML or for </w:t>
      </w:r>
      <w:r w:rsidR="00C971D1">
        <w:rPr>
          <w:rFonts w:ascii="Calibri" w:eastAsia="Times New Roman" w:hAnsi="Calibri"/>
          <w:sz w:val="22"/>
          <w:szCs w:val="22"/>
          <w:lang w:eastAsia="nl-NL"/>
        </w:rPr>
        <w:t xml:space="preserve">a </w:t>
      </w:r>
      <w:r w:rsidRPr="009A6F89">
        <w:rPr>
          <w:rFonts w:ascii="Calibri" w:eastAsia="Times New Roman" w:hAnsi="Calibri"/>
          <w:sz w:val="22"/>
          <w:szCs w:val="22"/>
          <w:lang w:eastAsia="nl-NL"/>
        </w:rPr>
        <w:t xml:space="preserve">predicate offence (analysis report disseminated to PPO), the number </w:t>
      </w:r>
      <w:r>
        <w:rPr>
          <w:rFonts w:ascii="Calibri" w:eastAsia="Times New Roman" w:hAnsi="Calibri"/>
          <w:sz w:val="22"/>
          <w:szCs w:val="22"/>
          <w:lang w:eastAsia="nl-NL"/>
        </w:rPr>
        <w:t xml:space="preserve">of </w:t>
      </w:r>
      <w:r w:rsidRPr="009A6F89">
        <w:rPr>
          <w:rFonts w:ascii="Calibri" w:eastAsia="Times New Roman" w:hAnsi="Calibri"/>
          <w:sz w:val="22"/>
          <w:szCs w:val="22"/>
          <w:lang w:eastAsia="nl-NL"/>
        </w:rPr>
        <w:t>international information exchange</w:t>
      </w:r>
      <w:r>
        <w:rPr>
          <w:rFonts w:ascii="Calibri" w:eastAsia="Times New Roman" w:hAnsi="Calibri"/>
          <w:sz w:val="22"/>
          <w:szCs w:val="22"/>
          <w:lang w:eastAsia="nl-NL"/>
        </w:rPr>
        <w:t>s</w:t>
      </w:r>
      <w:r w:rsidRPr="009A6F89">
        <w:rPr>
          <w:rFonts w:ascii="Calibri" w:eastAsia="Times New Roman" w:hAnsi="Calibri"/>
          <w:sz w:val="22"/>
          <w:szCs w:val="22"/>
          <w:lang w:eastAsia="nl-NL"/>
        </w:rPr>
        <w:t>, the number of cases that have been put forward for prosecution etc.</w:t>
      </w:r>
    </w:p>
    <w:p w14:paraId="55A40BF6" w14:textId="77777777"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 xml:space="preserve">Maltese </w:t>
      </w:r>
      <w:r w:rsidRPr="009A6F89">
        <w:rPr>
          <w:rFonts w:ascii="Calibri" w:hAnsi="Calibri" w:cs="Calibri"/>
          <w:sz w:val="22"/>
          <w:szCs w:val="22"/>
          <w:lang w:eastAsia="nl-NL"/>
        </w:rPr>
        <w:t>FIU gives good feedback to the reporting entities. This generally refers to the outcome of the STR</w:t>
      </w:r>
      <w:r w:rsidRPr="009A6F89">
        <w:rPr>
          <w:rFonts w:ascii="Calibri" w:hAnsi="Calibri"/>
          <w:sz w:val="22"/>
          <w:szCs w:val="22"/>
          <w:vertAlign w:val="superscript"/>
          <w:lang w:eastAsia="nl-NL"/>
        </w:rPr>
        <w:footnoteReference w:id="18"/>
      </w:r>
      <w:r w:rsidRPr="009A6F89">
        <w:rPr>
          <w:rFonts w:ascii="Calibri" w:hAnsi="Calibri" w:cs="Calibri"/>
          <w:sz w:val="22"/>
          <w:szCs w:val="22"/>
          <w:lang w:eastAsia="nl-NL"/>
        </w:rPr>
        <w:t xml:space="preserve"> – whether it was archived in </w:t>
      </w:r>
      <w:r>
        <w:rPr>
          <w:rFonts w:ascii="Calibri" w:hAnsi="Calibri" w:cs="Calibri"/>
          <w:sz w:val="22"/>
          <w:szCs w:val="22"/>
          <w:lang w:eastAsia="nl-NL"/>
        </w:rPr>
        <w:t xml:space="preserve">the </w:t>
      </w:r>
      <w:r w:rsidRPr="009A6F89">
        <w:rPr>
          <w:rFonts w:ascii="Calibri" w:hAnsi="Calibri" w:cs="Calibri"/>
          <w:sz w:val="22"/>
          <w:szCs w:val="22"/>
          <w:lang w:eastAsia="nl-NL"/>
        </w:rPr>
        <w:t>absence of other information, whether it was forwarded to the LEAs or whether it is still in the process of investigation. Furthermore, the FIU publishes yearly annual reports and make trends and methodologies on money laundering publicly available to reporting entities on their website.</w:t>
      </w:r>
    </w:p>
    <w:p w14:paraId="116BAD11" w14:textId="7208F1AF"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 xml:space="preserve">Dutch </w:t>
      </w:r>
      <w:r w:rsidRPr="00703BF0">
        <w:rPr>
          <w:rFonts w:ascii="Calibri" w:eastAsia="Times New Roman" w:hAnsi="Calibri"/>
          <w:sz w:val="22"/>
          <w:szCs w:val="22"/>
          <w:lang w:eastAsia="nl-NL"/>
        </w:rPr>
        <w:t xml:space="preserve">FIU </w:t>
      </w:r>
      <w:r w:rsidRPr="009A6F89">
        <w:rPr>
          <w:rFonts w:ascii="Calibri" w:eastAsia="Times New Roman" w:hAnsi="Calibri"/>
          <w:sz w:val="22"/>
          <w:szCs w:val="22"/>
          <w:lang w:eastAsia="nl-NL"/>
        </w:rPr>
        <w:t>provides training to the reporting entities: it publishes annual report</w:t>
      </w:r>
      <w:r>
        <w:rPr>
          <w:rFonts w:ascii="Calibri" w:eastAsia="Times New Roman" w:hAnsi="Calibri"/>
          <w:sz w:val="22"/>
          <w:szCs w:val="22"/>
          <w:lang w:eastAsia="nl-NL"/>
        </w:rPr>
        <w:t>s</w:t>
      </w:r>
      <w:r w:rsidRPr="009A6F89">
        <w:rPr>
          <w:rFonts w:ascii="Calibri" w:eastAsia="Times New Roman" w:hAnsi="Calibri"/>
          <w:sz w:val="22"/>
          <w:szCs w:val="22"/>
          <w:lang w:eastAsia="nl-NL"/>
        </w:rPr>
        <w:t xml:space="preserve"> with AML/CTF indicators and it prepares and distributes case studies to the obliged entities. The FIU’</w:t>
      </w:r>
      <w:r>
        <w:rPr>
          <w:rFonts w:ascii="Calibri" w:eastAsia="Times New Roman" w:hAnsi="Calibri"/>
          <w:sz w:val="22"/>
          <w:szCs w:val="22"/>
          <w:lang w:eastAsia="nl-NL"/>
        </w:rPr>
        <w:t>s</w:t>
      </w:r>
      <w:r w:rsidRPr="009A6F89">
        <w:rPr>
          <w:rFonts w:ascii="Calibri" w:eastAsia="Times New Roman" w:hAnsi="Calibri"/>
          <w:sz w:val="22"/>
          <w:szCs w:val="22"/>
          <w:lang w:eastAsia="nl-NL"/>
        </w:rPr>
        <w:t xml:space="preserve"> website contains a section on </w:t>
      </w:r>
      <w:r w:rsidR="00C971D1">
        <w:rPr>
          <w:rFonts w:ascii="Calibri" w:eastAsia="Times New Roman" w:hAnsi="Calibri"/>
          <w:sz w:val="22"/>
          <w:szCs w:val="22"/>
          <w:lang w:eastAsia="nl-NL"/>
        </w:rPr>
        <w:t>‘</w:t>
      </w:r>
      <w:r w:rsidRPr="009A6F89">
        <w:rPr>
          <w:rFonts w:ascii="Calibri" w:eastAsia="Times New Roman" w:hAnsi="Calibri"/>
          <w:sz w:val="22"/>
          <w:szCs w:val="22"/>
          <w:lang w:eastAsia="nl-NL"/>
        </w:rPr>
        <w:t>reporting</w:t>
      </w:r>
      <w:r w:rsidR="00C971D1">
        <w:rPr>
          <w:rFonts w:ascii="Calibri" w:eastAsia="Times New Roman" w:hAnsi="Calibri"/>
          <w:sz w:val="22"/>
          <w:szCs w:val="22"/>
          <w:lang w:eastAsia="nl-NL"/>
        </w:rPr>
        <w:t>’</w:t>
      </w:r>
      <w:r w:rsidR="00C971D1"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which specifies who is subject to reporting. The FIU provides the reporting entities with software that explains, </w:t>
      </w:r>
      <w:r>
        <w:rPr>
          <w:rFonts w:ascii="Calibri" w:eastAsia="Times New Roman" w:hAnsi="Calibri"/>
          <w:sz w:val="22"/>
          <w:szCs w:val="22"/>
          <w:lang w:eastAsia="nl-NL"/>
        </w:rPr>
        <w:t>inter alia,</w:t>
      </w:r>
      <w:r w:rsidRPr="009A6F89">
        <w:rPr>
          <w:rFonts w:ascii="Calibri" w:eastAsia="Times New Roman" w:hAnsi="Calibri"/>
          <w:sz w:val="22"/>
          <w:szCs w:val="22"/>
          <w:lang w:eastAsia="nl-NL"/>
        </w:rPr>
        <w:t xml:space="preserve"> what the reporting procedures are</w:t>
      </w:r>
      <w:r w:rsidR="00C971D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9"/>
      </w:r>
      <w:r w:rsidRPr="009A6F89">
        <w:rPr>
          <w:rFonts w:ascii="Calibri" w:eastAsia="Times New Roman" w:hAnsi="Calibri"/>
          <w:sz w:val="22"/>
          <w:szCs w:val="22"/>
          <w:lang w:eastAsia="nl-NL"/>
        </w:rPr>
        <w:t xml:space="preserve"> The FIU provides the reporting entities with a letter stating acknowledgement of receipt for each report. In order to avoid </w:t>
      </w:r>
      <w:r w:rsidR="00C971D1" w:rsidRPr="009A6F89">
        <w:rPr>
          <w:rFonts w:ascii="Calibri" w:eastAsia="Times New Roman" w:hAnsi="Calibri"/>
          <w:sz w:val="22"/>
          <w:szCs w:val="22"/>
          <w:lang w:eastAsia="nl-NL"/>
        </w:rPr>
        <w:t>tipping</w:t>
      </w:r>
      <w:r w:rsidR="00C971D1">
        <w:rPr>
          <w:rFonts w:ascii="Calibri" w:eastAsia="Times New Roman" w:hAnsi="Calibri"/>
          <w:sz w:val="22"/>
          <w:szCs w:val="22"/>
          <w:lang w:eastAsia="nl-NL"/>
        </w:rPr>
        <w:t>-</w:t>
      </w:r>
      <w:r w:rsidRPr="009A6F89">
        <w:rPr>
          <w:rFonts w:ascii="Calibri" w:eastAsia="Times New Roman" w:hAnsi="Calibri"/>
          <w:sz w:val="22"/>
          <w:szCs w:val="22"/>
          <w:lang w:eastAsia="nl-NL"/>
        </w:rPr>
        <w:t xml:space="preserve">off, the FIU only informs a reporting institution that a transaction is regarded as suspicious if the supervisor confirms that the reporting institution has </w:t>
      </w:r>
      <w:r>
        <w:rPr>
          <w:rFonts w:ascii="Calibri" w:eastAsia="Times New Roman" w:hAnsi="Calibri"/>
          <w:sz w:val="22"/>
          <w:szCs w:val="22"/>
          <w:lang w:eastAsia="nl-NL"/>
        </w:rPr>
        <w:t xml:space="preserve">its </w:t>
      </w:r>
      <w:r w:rsidRPr="009A6F89">
        <w:rPr>
          <w:rFonts w:ascii="Calibri" w:eastAsia="Times New Roman" w:hAnsi="Calibri"/>
          <w:sz w:val="22"/>
          <w:szCs w:val="22"/>
          <w:lang w:eastAsia="nl-NL"/>
        </w:rPr>
        <w:t>own AML/CTF compliance department that can be relied upon to protect the information. Furthermore, if the UTR is involved in a criminal investigation and then is used in a criminal trial, the FIU can only report back to the reporting entity with the authorization of the Prosecutor General Office</w:t>
      </w:r>
      <w:r w:rsidR="00C971D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0"/>
      </w:r>
      <w:r w:rsidRPr="009A6F89">
        <w:rPr>
          <w:rFonts w:ascii="Calibri" w:eastAsia="Times New Roman" w:hAnsi="Calibri"/>
          <w:sz w:val="22"/>
          <w:szCs w:val="22"/>
          <w:lang w:eastAsia="nl-NL"/>
        </w:rPr>
        <w:t xml:space="preserve"> Despite this, the FATF 2011</w:t>
      </w:r>
      <w:r w:rsidR="00565DC8">
        <w:rPr>
          <w:rFonts w:ascii="Calibri" w:eastAsia="Times New Roman" w:hAnsi="Calibri"/>
          <w:sz w:val="22"/>
          <w:szCs w:val="22"/>
          <w:lang w:eastAsia="nl-NL"/>
        </w:rPr>
        <w:t>b</w:t>
      </w:r>
      <w:r w:rsidRPr="009A6F89">
        <w:rPr>
          <w:rFonts w:ascii="Calibri" w:eastAsia="Times New Roman" w:hAnsi="Calibri"/>
          <w:sz w:val="22"/>
          <w:szCs w:val="22"/>
          <w:lang w:eastAsia="nl-NL"/>
        </w:rPr>
        <w:t xml:space="preserve"> report mentions that the entities </w:t>
      </w:r>
      <w:r w:rsidR="00C971D1" w:rsidRPr="00C971D1">
        <w:rPr>
          <w:rFonts w:ascii="Calibri" w:eastAsia="Times New Roman" w:hAnsi="Calibri"/>
          <w:sz w:val="22"/>
          <w:szCs w:val="22"/>
          <w:lang w:eastAsia="nl-NL"/>
        </w:rPr>
        <w:t xml:space="preserve">interviewed </w:t>
      </w:r>
      <w:r w:rsidRPr="009A6F89">
        <w:rPr>
          <w:rFonts w:ascii="Calibri" w:eastAsia="Times New Roman" w:hAnsi="Calibri"/>
          <w:sz w:val="22"/>
          <w:szCs w:val="22"/>
          <w:lang w:eastAsia="nl-NL"/>
        </w:rPr>
        <w:t xml:space="preserve">did not consider that they had sufficient guidance on what the FIU would wish to see by way of reports </w:t>
      </w:r>
      <w:r w:rsidR="00C971D1">
        <w:rPr>
          <w:rFonts w:ascii="Calibri" w:eastAsia="Times New Roman" w:hAnsi="Calibri"/>
          <w:sz w:val="22"/>
          <w:szCs w:val="22"/>
          <w:lang w:eastAsia="nl-NL"/>
        </w:rPr>
        <w:t>on</w:t>
      </w:r>
      <w:r w:rsidR="00C971D1"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their part</w:t>
      </w:r>
      <w:r w:rsidR="00C971D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1"/>
      </w:r>
      <w:r w:rsidRPr="009A6F89">
        <w:rPr>
          <w:rFonts w:ascii="Calibri" w:eastAsia="Times New Roman" w:hAnsi="Calibri"/>
          <w:sz w:val="22"/>
          <w:szCs w:val="22"/>
          <w:lang w:eastAsia="nl-NL"/>
        </w:rPr>
        <w:t xml:space="preserve"> Reporting entities refer to lack of feedback after they are notified that a UTR has been substantiated into an STR. The problem is that the FIU itself, once the information is disseminated to law enforcement</w:t>
      </w:r>
      <w:r w:rsidR="00C971D1">
        <w:rPr>
          <w:rFonts w:ascii="Calibri" w:eastAsia="Times New Roman" w:hAnsi="Calibri"/>
          <w:sz w:val="22"/>
          <w:szCs w:val="22"/>
          <w:lang w:eastAsia="nl-NL"/>
        </w:rPr>
        <w:t>,</w:t>
      </w:r>
      <w:r w:rsidRPr="009A6F89">
        <w:rPr>
          <w:rFonts w:ascii="Calibri" w:eastAsia="Times New Roman" w:hAnsi="Calibri"/>
          <w:sz w:val="22"/>
          <w:szCs w:val="22"/>
          <w:lang w:eastAsia="nl-NL"/>
        </w:rPr>
        <w:t xml:space="preserve"> has no information </w:t>
      </w:r>
      <w:r w:rsidR="00C971D1" w:rsidRPr="009A6F89">
        <w:rPr>
          <w:rFonts w:ascii="Calibri" w:eastAsia="Times New Roman" w:hAnsi="Calibri"/>
          <w:sz w:val="22"/>
          <w:szCs w:val="22"/>
          <w:lang w:eastAsia="nl-NL"/>
        </w:rPr>
        <w:t>o</w:t>
      </w:r>
      <w:r w:rsidR="00C971D1">
        <w:rPr>
          <w:rFonts w:ascii="Calibri" w:eastAsia="Times New Roman" w:hAnsi="Calibri"/>
          <w:sz w:val="22"/>
          <w:szCs w:val="22"/>
          <w:lang w:eastAsia="nl-NL"/>
        </w:rPr>
        <w:t>n</w:t>
      </w:r>
      <w:r w:rsidR="00C971D1"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further course of action undertaken by </w:t>
      </w:r>
      <w:r w:rsidR="00C971D1">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law enforcement authorities</w:t>
      </w:r>
      <w:r w:rsidR="00C971D1">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2"/>
      </w:r>
    </w:p>
    <w:p w14:paraId="6ADB30B4" w14:textId="68BE9522"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According to the </w:t>
      </w:r>
      <w:r w:rsidRPr="00853CAC">
        <w:rPr>
          <w:rFonts w:ascii="Calibri" w:hAnsi="Calibri" w:cs="Calibri"/>
          <w:b/>
          <w:sz w:val="22"/>
          <w:szCs w:val="22"/>
          <w:lang w:eastAsia="nl-NL"/>
        </w:rPr>
        <w:t>Polish</w:t>
      </w:r>
      <w:r w:rsidRPr="009A6F89">
        <w:rPr>
          <w:rFonts w:ascii="Calibri" w:hAnsi="Calibri" w:cs="Calibri"/>
          <w:sz w:val="22"/>
          <w:szCs w:val="22"/>
          <w:lang w:eastAsia="nl-NL"/>
        </w:rPr>
        <w:t xml:space="preserve"> FIU </w:t>
      </w:r>
      <w:r w:rsidR="00235CA2">
        <w:rPr>
          <w:rFonts w:ascii="Calibri" w:hAnsi="Calibri" w:cs="Calibri"/>
          <w:sz w:val="22"/>
          <w:szCs w:val="22"/>
          <w:lang w:eastAsia="nl-NL"/>
        </w:rPr>
        <w:t>A</w:t>
      </w:r>
      <w:r w:rsidR="00235CA2" w:rsidRPr="009A6F89">
        <w:rPr>
          <w:rFonts w:ascii="Calibri" w:hAnsi="Calibri" w:cs="Calibri"/>
          <w:sz w:val="22"/>
          <w:szCs w:val="22"/>
          <w:lang w:eastAsia="nl-NL"/>
        </w:rPr>
        <w:t xml:space="preserve">nnual </w:t>
      </w:r>
      <w:r w:rsidR="00235CA2">
        <w:rPr>
          <w:rFonts w:ascii="Calibri" w:hAnsi="Calibri" w:cs="Calibri"/>
          <w:sz w:val="22"/>
          <w:szCs w:val="22"/>
          <w:lang w:eastAsia="nl-NL"/>
        </w:rPr>
        <w:t>R</w:t>
      </w:r>
      <w:r w:rsidR="00235CA2" w:rsidRPr="009A6F89">
        <w:rPr>
          <w:rFonts w:ascii="Calibri" w:hAnsi="Calibri" w:cs="Calibri"/>
          <w:sz w:val="22"/>
          <w:szCs w:val="22"/>
          <w:lang w:eastAsia="nl-NL"/>
        </w:rPr>
        <w:t xml:space="preserve">eport </w:t>
      </w:r>
      <w:r w:rsidRPr="009A6F89">
        <w:rPr>
          <w:rFonts w:ascii="Calibri" w:hAnsi="Calibri" w:cs="Calibri"/>
          <w:sz w:val="22"/>
          <w:szCs w:val="22"/>
          <w:lang w:eastAsia="nl-NL"/>
        </w:rPr>
        <w:t xml:space="preserve">2010, the majority of the </w:t>
      </w:r>
      <w:r>
        <w:rPr>
          <w:rFonts w:ascii="Calibri" w:hAnsi="Calibri" w:cs="Calibri"/>
          <w:sz w:val="22"/>
          <w:szCs w:val="22"/>
          <w:lang w:eastAsia="nl-NL"/>
        </w:rPr>
        <w:t>obliged</w:t>
      </w:r>
      <w:r w:rsidRPr="009A6F89">
        <w:rPr>
          <w:rFonts w:ascii="Calibri" w:hAnsi="Calibri" w:cs="Calibri"/>
          <w:sz w:val="22"/>
          <w:szCs w:val="22"/>
          <w:lang w:eastAsia="nl-NL"/>
        </w:rPr>
        <w:t xml:space="preserve"> institutions were given</w:t>
      </w:r>
      <w:r w:rsidR="00005855">
        <w:rPr>
          <w:rFonts w:ascii="Calibri" w:hAnsi="Calibri" w:cs="Calibri"/>
          <w:sz w:val="22"/>
          <w:szCs w:val="22"/>
          <w:lang w:eastAsia="nl-NL"/>
        </w:rPr>
        <w:t xml:space="preserve"> </w:t>
      </w:r>
      <w:r w:rsidRPr="009A6F89">
        <w:rPr>
          <w:rFonts w:ascii="Calibri" w:hAnsi="Calibri" w:cs="Calibri"/>
          <w:sz w:val="22"/>
          <w:szCs w:val="22"/>
          <w:lang w:eastAsia="nl-NL"/>
        </w:rPr>
        <w:t xml:space="preserve">e-learning training and the FIU has given other workshops as well. The training is done so that the FIU can make sure that reporting entities know how </w:t>
      </w:r>
      <w:r w:rsidR="00624B25">
        <w:rPr>
          <w:rFonts w:ascii="Calibri" w:hAnsi="Calibri" w:cs="Calibri"/>
          <w:sz w:val="22"/>
          <w:szCs w:val="22"/>
          <w:lang w:eastAsia="nl-NL"/>
        </w:rPr>
        <w:t>and what</w:t>
      </w:r>
      <w:r w:rsidR="00624B25" w:rsidRPr="009A6F89">
        <w:rPr>
          <w:rFonts w:ascii="Calibri" w:hAnsi="Calibri" w:cs="Calibri"/>
          <w:sz w:val="22"/>
          <w:szCs w:val="22"/>
          <w:lang w:eastAsia="nl-NL"/>
        </w:rPr>
        <w:t xml:space="preserve"> </w:t>
      </w:r>
      <w:r w:rsidRPr="009A6F89">
        <w:rPr>
          <w:rFonts w:ascii="Calibri" w:hAnsi="Calibri" w:cs="Calibri"/>
          <w:sz w:val="22"/>
          <w:szCs w:val="22"/>
          <w:lang w:eastAsia="nl-NL"/>
        </w:rPr>
        <w:t>to report electronically</w:t>
      </w:r>
      <w:r w:rsidR="00624B25">
        <w:rPr>
          <w:rFonts w:ascii="Calibri" w:hAnsi="Calibri" w:cs="Calibri"/>
          <w:sz w:val="22"/>
          <w:szCs w:val="22"/>
          <w:lang w:eastAsia="nl-NL"/>
        </w:rPr>
        <w:t>,</w:t>
      </w:r>
      <w:r w:rsidRPr="009A6F89">
        <w:rPr>
          <w:rFonts w:ascii="Calibri" w:hAnsi="Calibri" w:cs="Calibri"/>
          <w:sz w:val="22"/>
          <w:szCs w:val="22"/>
          <w:lang w:eastAsia="nl-NL"/>
        </w:rPr>
        <w:t xml:space="preserve"> there</w:t>
      </w:r>
      <w:r w:rsidR="00624B25">
        <w:rPr>
          <w:rFonts w:ascii="Calibri" w:hAnsi="Calibri" w:cs="Calibri"/>
          <w:sz w:val="22"/>
          <w:szCs w:val="22"/>
          <w:lang w:eastAsia="nl-NL"/>
        </w:rPr>
        <w:t>by</w:t>
      </w:r>
      <w:r w:rsidRPr="009A6F89">
        <w:rPr>
          <w:rFonts w:ascii="Calibri" w:hAnsi="Calibri" w:cs="Calibri"/>
          <w:sz w:val="22"/>
          <w:szCs w:val="22"/>
          <w:lang w:eastAsia="nl-NL"/>
        </w:rPr>
        <w:t xml:space="preserve"> </w:t>
      </w:r>
      <w:r w:rsidR="00624B25" w:rsidRPr="009A6F89">
        <w:rPr>
          <w:rFonts w:ascii="Calibri" w:hAnsi="Calibri" w:cs="Calibri"/>
          <w:sz w:val="22"/>
          <w:szCs w:val="22"/>
          <w:lang w:eastAsia="nl-NL"/>
        </w:rPr>
        <w:t>reduc</w:t>
      </w:r>
      <w:r w:rsidR="00624B25">
        <w:rPr>
          <w:rFonts w:ascii="Calibri" w:hAnsi="Calibri" w:cs="Calibri"/>
          <w:sz w:val="22"/>
          <w:szCs w:val="22"/>
          <w:lang w:eastAsia="nl-NL"/>
        </w:rPr>
        <w:t>ing</w:t>
      </w:r>
      <w:r w:rsidR="00624B25"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the workload of the FIU. According to the 2011 FIU </w:t>
      </w:r>
      <w:r w:rsidR="00624B25">
        <w:rPr>
          <w:rFonts w:ascii="Calibri" w:hAnsi="Calibri" w:cs="Calibri"/>
          <w:sz w:val="22"/>
          <w:szCs w:val="22"/>
          <w:lang w:eastAsia="nl-NL"/>
        </w:rPr>
        <w:t>A</w:t>
      </w:r>
      <w:r w:rsidR="00624B25" w:rsidRPr="009A6F89">
        <w:rPr>
          <w:rFonts w:ascii="Calibri" w:hAnsi="Calibri" w:cs="Calibri"/>
          <w:sz w:val="22"/>
          <w:szCs w:val="22"/>
          <w:lang w:eastAsia="nl-NL"/>
        </w:rPr>
        <w:t xml:space="preserve">nnual </w:t>
      </w:r>
      <w:r w:rsidR="00624B25">
        <w:rPr>
          <w:rFonts w:ascii="Calibri" w:hAnsi="Calibri" w:cs="Calibri"/>
          <w:sz w:val="22"/>
          <w:szCs w:val="22"/>
          <w:lang w:eastAsia="nl-NL"/>
        </w:rPr>
        <w:t>R</w:t>
      </w:r>
      <w:r w:rsidR="00624B25" w:rsidRPr="009A6F89">
        <w:rPr>
          <w:rFonts w:ascii="Calibri" w:hAnsi="Calibri" w:cs="Calibri"/>
          <w:sz w:val="22"/>
          <w:szCs w:val="22"/>
          <w:lang w:eastAsia="nl-NL"/>
        </w:rPr>
        <w:t>eport</w:t>
      </w:r>
      <w:r w:rsidRPr="009A6F89">
        <w:rPr>
          <w:rFonts w:ascii="Calibri" w:hAnsi="Calibri" w:cs="Calibri"/>
          <w:sz w:val="22"/>
          <w:szCs w:val="22"/>
          <w:lang w:eastAsia="nl-NL"/>
        </w:rPr>
        <w:t>, members of the FIU have been involved in giving approximately 30 training</w:t>
      </w:r>
      <w:r>
        <w:rPr>
          <w:rFonts w:ascii="Calibri" w:hAnsi="Calibri" w:cs="Calibri"/>
          <w:sz w:val="22"/>
          <w:szCs w:val="22"/>
          <w:lang w:eastAsia="nl-NL"/>
        </w:rPr>
        <w:t xml:space="preserve"> session</w:t>
      </w:r>
      <w:r w:rsidRPr="009A6F89">
        <w:rPr>
          <w:rFonts w:ascii="Calibri" w:hAnsi="Calibri" w:cs="Calibri"/>
          <w:sz w:val="22"/>
          <w:szCs w:val="22"/>
          <w:lang w:eastAsia="nl-NL"/>
        </w:rPr>
        <w:t xml:space="preserve">s and lectures both nationally and internationally. </w:t>
      </w:r>
      <w:r>
        <w:rPr>
          <w:rFonts w:ascii="Calibri" w:hAnsi="Calibri" w:cs="Calibri"/>
          <w:sz w:val="22"/>
          <w:szCs w:val="22"/>
          <w:lang w:eastAsia="nl-NL"/>
        </w:rPr>
        <w:t xml:space="preserve">On the issue of </w:t>
      </w:r>
      <w:r w:rsidRPr="009A6F89">
        <w:rPr>
          <w:rFonts w:ascii="Calibri" w:hAnsi="Calibri" w:cs="Calibri"/>
          <w:sz w:val="22"/>
          <w:szCs w:val="22"/>
          <w:lang w:eastAsia="nl-NL"/>
        </w:rPr>
        <w:t xml:space="preserve">case-by-case feedback, </w:t>
      </w:r>
      <w:r>
        <w:rPr>
          <w:rFonts w:ascii="Calibri" w:hAnsi="Calibri" w:cs="Calibri"/>
          <w:sz w:val="22"/>
          <w:szCs w:val="22"/>
          <w:lang w:eastAsia="nl-NL"/>
        </w:rPr>
        <w:t xml:space="preserve">this is given in any case where the notification submitted by the FIU to the PPO was based on information provided by the respective institution. </w:t>
      </w:r>
      <w:r>
        <w:rPr>
          <w:rFonts w:ascii="Calibri" w:hAnsi="Calibri" w:cs="Calibri"/>
          <w:sz w:val="22"/>
          <w:szCs w:val="22"/>
          <w:lang w:eastAsia="nl-NL"/>
        </w:rPr>
        <w:lastRenderedPageBreak/>
        <w:t xml:space="preserve">The feedback should be given within 90 days </w:t>
      </w:r>
      <w:r w:rsidR="00624B25">
        <w:rPr>
          <w:rFonts w:ascii="Calibri" w:hAnsi="Calibri" w:cs="Calibri"/>
          <w:sz w:val="22"/>
          <w:szCs w:val="22"/>
          <w:lang w:eastAsia="nl-NL"/>
        </w:rPr>
        <w:t xml:space="preserve">of </w:t>
      </w:r>
      <w:r>
        <w:rPr>
          <w:rFonts w:ascii="Calibri" w:hAnsi="Calibri" w:cs="Calibri"/>
          <w:sz w:val="22"/>
          <w:szCs w:val="22"/>
          <w:lang w:eastAsia="nl-NL"/>
        </w:rPr>
        <w:t xml:space="preserve">receiving the notification. Moreover, the FIU dedicates part of its website to the solving of problems that reporting obligations might have. </w:t>
      </w:r>
    </w:p>
    <w:p w14:paraId="75E846D3" w14:textId="2C36FB18"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Portuguese</w:t>
      </w:r>
      <w:r w:rsidRPr="009A6F89">
        <w:rPr>
          <w:rFonts w:ascii="Calibri" w:hAnsi="Calibri" w:cs="Calibri"/>
          <w:sz w:val="22"/>
          <w:szCs w:val="22"/>
          <w:lang w:eastAsia="nl-NL"/>
        </w:rPr>
        <w:t xml:space="preserve"> FIU meets with the reporting entities in several ways. They </w:t>
      </w:r>
      <w:r w:rsidR="00CF246D" w:rsidRPr="009A6F89">
        <w:rPr>
          <w:rFonts w:ascii="Calibri" w:hAnsi="Calibri" w:cs="Calibri"/>
          <w:sz w:val="22"/>
          <w:szCs w:val="22"/>
          <w:lang w:eastAsia="nl-NL"/>
        </w:rPr>
        <w:t>organ</w:t>
      </w:r>
      <w:r w:rsidR="00CF246D">
        <w:rPr>
          <w:rFonts w:ascii="Calibri" w:hAnsi="Calibri" w:cs="Calibri"/>
          <w:sz w:val="22"/>
          <w:szCs w:val="22"/>
          <w:lang w:eastAsia="nl-NL"/>
        </w:rPr>
        <w:t>ize</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meetings with every sector, as well as a yearly conference with all the reporting entities. </w:t>
      </w:r>
      <w:r w:rsidR="00CF246D">
        <w:rPr>
          <w:rFonts w:ascii="Calibri" w:hAnsi="Calibri" w:cs="Calibri"/>
          <w:sz w:val="22"/>
          <w:szCs w:val="22"/>
          <w:lang w:eastAsia="nl-NL"/>
        </w:rPr>
        <w:t>In addition</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to this, the representatives of the FIU </w:t>
      </w:r>
      <w:r w:rsidR="00CF246D">
        <w:rPr>
          <w:rFonts w:ascii="Calibri" w:hAnsi="Calibri" w:cs="Calibri"/>
          <w:sz w:val="22"/>
          <w:szCs w:val="22"/>
          <w:lang w:eastAsia="nl-NL"/>
        </w:rPr>
        <w:t xml:space="preserve">have </w:t>
      </w:r>
      <w:r w:rsidRPr="009A6F89">
        <w:rPr>
          <w:rFonts w:ascii="Calibri" w:hAnsi="Calibri" w:cs="Calibri"/>
          <w:sz w:val="22"/>
          <w:szCs w:val="22"/>
          <w:lang w:eastAsia="nl-NL"/>
        </w:rPr>
        <w:t xml:space="preserve">suggested that they are in permanent informal contact with the reporting entities as a way </w:t>
      </w:r>
      <w:r w:rsidR="00CF246D">
        <w:rPr>
          <w:rFonts w:ascii="Calibri" w:hAnsi="Calibri" w:cs="Calibri"/>
          <w:sz w:val="22"/>
          <w:szCs w:val="22"/>
          <w:lang w:eastAsia="nl-NL"/>
        </w:rPr>
        <w:t>of</w:t>
      </w:r>
      <w:r w:rsidR="00CF246D" w:rsidRPr="009A6F89">
        <w:rPr>
          <w:rFonts w:ascii="Calibri" w:hAnsi="Calibri" w:cs="Calibri"/>
          <w:sz w:val="22"/>
          <w:szCs w:val="22"/>
          <w:lang w:eastAsia="nl-NL"/>
        </w:rPr>
        <w:t xml:space="preserve"> provid</w:t>
      </w:r>
      <w:r w:rsidR="00CF246D">
        <w:rPr>
          <w:rFonts w:ascii="Calibri" w:hAnsi="Calibri" w:cs="Calibri"/>
          <w:sz w:val="22"/>
          <w:szCs w:val="22"/>
          <w:lang w:eastAsia="nl-NL"/>
        </w:rPr>
        <w:t>ing</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them with individual feedback. The FIU provides feedback </w:t>
      </w:r>
      <w:r w:rsidR="00CF246D" w:rsidRPr="009A6F89">
        <w:rPr>
          <w:rFonts w:ascii="Calibri" w:hAnsi="Calibri" w:cs="Calibri"/>
          <w:sz w:val="22"/>
          <w:szCs w:val="22"/>
          <w:lang w:eastAsia="nl-NL"/>
        </w:rPr>
        <w:t>o</w:t>
      </w:r>
      <w:r w:rsidR="00CF246D">
        <w:rPr>
          <w:rFonts w:ascii="Calibri" w:hAnsi="Calibri" w:cs="Calibri"/>
          <w:sz w:val="22"/>
          <w:szCs w:val="22"/>
          <w:lang w:eastAsia="nl-NL"/>
        </w:rPr>
        <w:t>n</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information to the obliged entities on a quarterly basis, as far as reports are concerned. This feedback includes information on the results, as well as on the destination</w:t>
      </w:r>
      <w:r w:rsidR="00CF246D">
        <w:rPr>
          <w:rFonts w:ascii="Calibri" w:hAnsi="Calibri" w:cs="Calibri"/>
          <w:sz w:val="22"/>
          <w:szCs w:val="22"/>
          <w:lang w:eastAsia="nl-NL"/>
        </w:rPr>
        <w:t>,</w:t>
      </w:r>
      <w:r w:rsidRPr="009A6F89">
        <w:rPr>
          <w:rFonts w:ascii="Calibri" w:hAnsi="Calibri" w:cs="Calibri"/>
          <w:sz w:val="22"/>
          <w:szCs w:val="22"/>
          <w:lang w:eastAsia="nl-NL"/>
        </w:rPr>
        <w:t xml:space="preserve"> of the reports.</w:t>
      </w:r>
    </w:p>
    <w:p w14:paraId="6AF1F9F8" w14:textId="5D139643"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Romanian</w:t>
      </w:r>
      <w:r>
        <w:rPr>
          <w:rFonts w:ascii="Calibri" w:hAnsi="Calibri" w:cs="Calibri"/>
          <w:b/>
          <w:sz w:val="22"/>
          <w:szCs w:val="22"/>
          <w:lang w:eastAsia="nl-NL"/>
        </w:rPr>
        <w:t xml:space="preserve"> </w:t>
      </w:r>
      <w:r w:rsidRPr="009A6F89">
        <w:rPr>
          <w:rFonts w:ascii="Calibri" w:hAnsi="Calibri" w:cs="Calibri"/>
          <w:sz w:val="22"/>
          <w:szCs w:val="22"/>
          <w:lang w:eastAsia="nl-NL"/>
        </w:rPr>
        <w:t>FIU</w:t>
      </w:r>
      <w:r>
        <w:rPr>
          <w:rFonts w:ascii="Calibri" w:hAnsi="Calibri" w:cs="Calibri"/>
          <w:sz w:val="22"/>
          <w:szCs w:val="22"/>
          <w:lang w:eastAsia="nl-NL"/>
        </w:rPr>
        <w:t xml:space="preserve"> </w:t>
      </w:r>
      <w:r w:rsidRPr="009A6F89">
        <w:rPr>
          <w:rFonts w:ascii="Calibri" w:hAnsi="Calibri" w:cs="Calibri"/>
          <w:sz w:val="22"/>
          <w:szCs w:val="22"/>
          <w:lang w:eastAsia="nl-NL"/>
        </w:rPr>
        <w:t xml:space="preserve">does not give </w:t>
      </w:r>
      <w:r w:rsidR="00CF246D" w:rsidRPr="009A6F89">
        <w:rPr>
          <w:rFonts w:ascii="Calibri" w:hAnsi="Calibri" w:cs="Calibri"/>
          <w:sz w:val="22"/>
          <w:szCs w:val="22"/>
          <w:lang w:eastAsia="nl-NL"/>
        </w:rPr>
        <w:t>case</w:t>
      </w:r>
      <w:r w:rsidR="00CF246D">
        <w:rPr>
          <w:rFonts w:ascii="Calibri" w:hAnsi="Calibri" w:cs="Calibri"/>
          <w:sz w:val="22"/>
          <w:szCs w:val="22"/>
          <w:lang w:eastAsia="nl-NL"/>
        </w:rPr>
        <w:t>-</w:t>
      </w:r>
      <w:r w:rsidR="00CF246D" w:rsidRPr="009A6F89">
        <w:rPr>
          <w:rFonts w:ascii="Calibri" w:hAnsi="Calibri" w:cs="Calibri"/>
          <w:sz w:val="22"/>
          <w:szCs w:val="22"/>
          <w:lang w:eastAsia="nl-NL"/>
        </w:rPr>
        <w:t>by</w:t>
      </w:r>
      <w:r w:rsidR="00CF246D">
        <w:rPr>
          <w:rFonts w:ascii="Calibri" w:hAnsi="Calibri" w:cs="Calibri"/>
          <w:sz w:val="22"/>
          <w:szCs w:val="22"/>
          <w:lang w:eastAsia="nl-NL"/>
        </w:rPr>
        <w:t>-</w:t>
      </w:r>
      <w:r w:rsidRPr="009A6F89">
        <w:rPr>
          <w:rFonts w:ascii="Calibri" w:hAnsi="Calibri" w:cs="Calibri"/>
          <w:sz w:val="22"/>
          <w:szCs w:val="22"/>
          <w:lang w:eastAsia="nl-NL"/>
        </w:rPr>
        <w:t xml:space="preserve">case feedback to the reporting entities. Feedback has a general nature, whereby reporting entities undergo annual training, can participate in seminars and workshops </w:t>
      </w:r>
      <w:r w:rsidR="00CF246D" w:rsidRPr="009A6F89">
        <w:rPr>
          <w:rFonts w:ascii="Calibri" w:hAnsi="Calibri" w:cs="Calibri"/>
          <w:sz w:val="22"/>
          <w:szCs w:val="22"/>
          <w:lang w:eastAsia="nl-NL"/>
        </w:rPr>
        <w:t>organ</w:t>
      </w:r>
      <w:r w:rsidR="00CF246D">
        <w:rPr>
          <w:rFonts w:ascii="Calibri" w:hAnsi="Calibri" w:cs="Calibri"/>
          <w:sz w:val="22"/>
          <w:szCs w:val="22"/>
          <w:lang w:eastAsia="nl-NL"/>
        </w:rPr>
        <w:t>ize</w:t>
      </w:r>
      <w:r w:rsidR="00CF246D" w:rsidRPr="009A6F89">
        <w:rPr>
          <w:rFonts w:ascii="Calibri" w:hAnsi="Calibri" w:cs="Calibri"/>
          <w:sz w:val="22"/>
          <w:szCs w:val="22"/>
          <w:lang w:eastAsia="nl-NL"/>
        </w:rPr>
        <w:t xml:space="preserve">d </w:t>
      </w:r>
      <w:r w:rsidRPr="009A6F89">
        <w:rPr>
          <w:rFonts w:ascii="Calibri" w:hAnsi="Calibri" w:cs="Calibri"/>
          <w:sz w:val="22"/>
          <w:szCs w:val="22"/>
          <w:lang w:eastAsia="nl-NL"/>
        </w:rPr>
        <w:t>by the FIU</w:t>
      </w:r>
      <w:r>
        <w:rPr>
          <w:rFonts w:ascii="Calibri" w:hAnsi="Calibri" w:cs="Calibri"/>
          <w:sz w:val="22"/>
          <w:szCs w:val="22"/>
          <w:lang w:eastAsia="nl-NL"/>
        </w:rPr>
        <w:t>,</w:t>
      </w:r>
      <w:r w:rsidRPr="009A6F89">
        <w:rPr>
          <w:rFonts w:ascii="Calibri" w:hAnsi="Calibri" w:cs="Calibri"/>
          <w:sz w:val="22"/>
          <w:szCs w:val="22"/>
          <w:lang w:eastAsia="nl-NL"/>
        </w:rPr>
        <w:t xml:space="preserve"> and can read more about AML/CTF trends and statistics </w:t>
      </w:r>
      <w:r w:rsidR="00CF246D">
        <w:rPr>
          <w:rFonts w:ascii="Calibri" w:hAnsi="Calibri" w:cs="Calibri"/>
          <w:sz w:val="22"/>
          <w:szCs w:val="22"/>
          <w:lang w:eastAsia="nl-NL"/>
        </w:rPr>
        <w:t>in</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the publicly available FIU annual reports.</w:t>
      </w:r>
    </w:p>
    <w:p w14:paraId="600F9FE5" w14:textId="4FC52911"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The</w:t>
      </w:r>
      <w:r w:rsidRPr="009A6F89">
        <w:rPr>
          <w:rFonts w:ascii="Calibri" w:hAnsi="Calibri" w:cs="Calibri"/>
          <w:b/>
          <w:sz w:val="22"/>
          <w:szCs w:val="22"/>
          <w:lang w:eastAsia="nl-NL"/>
        </w:rPr>
        <w:t xml:space="preserve"> Slovakian</w:t>
      </w:r>
      <w:r w:rsidRPr="009A6F89">
        <w:rPr>
          <w:rFonts w:ascii="Calibri" w:hAnsi="Calibri" w:cs="Calibri"/>
          <w:sz w:val="22"/>
          <w:szCs w:val="22"/>
          <w:lang w:eastAsia="nl-NL"/>
        </w:rPr>
        <w:t xml:space="preserve"> FIU is obliged by law</w:t>
      </w:r>
      <w:r w:rsidRPr="009A6F89">
        <w:rPr>
          <w:rFonts w:ascii="Calibri" w:hAnsi="Calibri" w:cs="Calibri"/>
          <w:sz w:val="22"/>
          <w:szCs w:val="22"/>
          <w:vertAlign w:val="superscript"/>
          <w:lang w:eastAsia="nl-NL"/>
        </w:rPr>
        <w:footnoteReference w:id="23"/>
      </w:r>
      <w:r w:rsidRPr="009A6F89">
        <w:rPr>
          <w:rFonts w:ascii="Calibri" w:hAnsi="Calibri" w:cs="Calibri"/>
          <w:sz w:val="22"/>
          <w:szCs w:val="22"/>
          <w:lang w:eastAsia="nl-NL"/>
        </w:rPr>
        <w:t xml:space="preserve"> to provide obliged entities with information on the efficiency of UTRs and on the procedures following their reporting unless this endanger</w:t>
      </w:r>
      <w:r>
        <w:rPr>
          <w:rFonts w:ascii="Calibri" w:hAnsi="Calibri" w:cs="Calibri"/>
          <w:sz w:val="22"/>
          <w:szCs w:val="22"/>
          <w:lang w:eastAsia="nl-NL"/>
        </w:rPr>
        <w:t>s</w:t>
      </w:r>
      <w:r w:rsidRPr="009A6F89">
        <w:rPr>
          <w:rFonts w:ascii="Calibri" w:hAnsi="Calibri" w:cs="Calibri"/>
          <w:sz w:val="22"/>
          <w:szCs w:val="22"/>
          <w:lang w:eastAsia="nl-NL"/>
        </w:rPr>
        <w:t xml:space="preserve"> the FIU analysis. Unfortunately, it was not possible to find out </w:t>
      </w:r>
      <w:r w:rsidR="00CF246D">
        <w:rPr>
          <w:rFonts w:ascii="Calibri" w:hAnsi="Calibri" w:cs="Calibri"/>
          <w:sz w:val="22"/>
          <w:szCs w:val="22"/>
          <w:lang w:eastAsia="nl-NL"/>
        </w:rPr>
        <w:t>from an FIU representative</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whether this </w:t>
      </w:r>
      <w:r w:rsidR="00CF246D">
        <w:rPr>
          <w:rFonts w:ascii="Calibri" w:hAnsi="Calibri" w:cs="Calibri"/>
          <w:sz w:val="22"/>
          <w:szCs w:val="22"/>
          <w:lang w:eastAsia="nl-NL"/>
        </w:rPr>
        <w:t>is</w:t>
      </w:r>
      <w:r w:rsidR="00CF246D" w:rsidRPr="009A6F89">
        <w:rPr>
          <w:rFonts w:ascii="Calibri" w:hAnsi="Calibri" w:cs="Calibri"/>
          <w:sz w:val="22"/>
          <w:szCs w:val="22"/>
          <w:lang w:eastAsia="nl-NL"/>
        </w:rPr>
        <w:t xml:space="preserve"> </w:t>
      </w:r>
      <w:r w:rsidRPr="009A6F89">
        <w:rPr>
          <w:rFonts w:ascii="Calibri" w:hAnsi="Calibri" w:cs="Calibri"/>
          <w:sz w:val="22"/>
          <w:szCs w:val="22"/>
          <w:lang w:eastAsia="nl-NL"/>
        </w:rPr>
        <w:t>actually the case in practice.</w:t>
      </w:r>
    </w:p>
    <w:p w14:paraId="5275F752" w14:textId="742C3E19"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In </w:t>
      </w:r>
      <w:r w:rsidRPr="00853CAC">
        <w:rPr>
          <w:rFonts w:ascii="Calibri" w:hAnsi="Calibri" w:cs="Calibri"/>
          <w:b/>
          <w:sz w:val="22"/>
          <w:szCs w:val="22"/>
          <w:lang w:eastAsia="nl-NL"/>
        </w:rPr>
        <w:t>Slovenia</w:t>
      </w:r>
      <w:r w:rsidRPr="009A6F89">
        <w:rPr>
          <w:rFonts w:ascii="Calibri" w:hAnsi="Calibri" w:cs="Calibri"/>
          <w:sz w:val="22"/>
          <w:szCs w:val="22"/>
          <w:lang w:eastAsia="nl-NL"/>
        </w:rPr>
        <w:t xml:space="preserve">, there are several standard reporting formats to be downloaded from the OPML website – a report on cash transactions of great value, a report on suspicious transactions, clients or suspected money laundering activity, </w:t>
      </w:r>
      <w:r>
        <w:rPr>
          <w:rFonts w:ascii="Calibri" w:hAnsi="Calibri" w:cs="Calibri"/>
          <w:sz w:val="22"/>
          <w:szCs w:val="22"/>
          <w:lang w:eastAsia="nl-NL"/>
        </w:rPr>
        <w:t xml:space="preserve">a </w:t>
      </w:r>
      <w:r w:rsidRPr="009A6F89">
        <w:rPr>
          <w:rFonts w:ascii="Calibri" w:hAnsi="Calibri" w:cs="Calibri"/>
          <w:sz w:val="22"/>
          <w:szCs w:val="22"/>
          <w:lang w:eastAsia="nl-NL"/>
        </w:rPr>
        <w:t xml:space="preserve">report on criminal reports, </w:t>
      </w:r>
      <w:r>
        <w:rPr>
          <w:rFonts w:ascii="Calibri" w:hAnsi="Calibri" w:cs="Calibri"/>
          <w:sz w:val="22"/>
          <w:szCs w:val="22"/>
          <w:lang w:eastAsia="nl-NL"/>
        </w:rPr>
        <w:t xml:space="preserve">a </w:t>
      </w:r>
      <w:r w:rsidRPr="009A6F89">
        <w:rPr>
          <w:rFonts w:ascii="Calibri" w:hAnsi="Calibri" w:cs="Calibri"/>
          <w:sz w:val="22"/>
          <w:szCs w:val="22"/>
          <w:lang w:eastAsia="nl-NL"/>
        </w:rPr>
        <w:t xml:space="preserve">report on criminal offences and administrative offences and a report on </w:t>
      </w:r>
      <w:r w:rsidR="00CA392F" w:rsidRPr="009A6F89">
        <w:rPr>
          <w:rFonts w:ascii="Calibri" w:hAnsi="Calibri" w:cs="Calibri"/>
          <w:sz w:val="22"/>
          <w:szCs w:val="22"/>
          <w:lang w:eastAsia="nl-NL"/>
        </w:rPr>
        <w:t>cross</w:t>
      </w:r>
      <w:r w:rsidR="00CA392F">
        <w:rPr>
          <w:rFonts w:ascii="Calibri" w:hAnsi="Calibri" w:cs="Calibri"/>
          <w:sz w:val="22"/>
          <w:szCs w:val="22"/>
          <w:lang w:eastAsia="nl-NL"/>
        </w:rPr>
        <w:t>-</w:t>
      </w:r>
      <w:r w:rsidRPr="009A6F89">
        <w:rPr>
          <w:rFonts w:ascii="Calibri" w:hAnsi="Calibri" w:cs="Calibri"/>
          <w:sz w:val="22"/>
          <w:szCs w:val="22"/>
          <w:lang w:eastAsia="nl-NL"/>
        </w:rPr>
        <w:t xml:space="preserve">border transfer of cash and securities. The OMLP is obliged by </w:t>
      </w:r>
      <w:r w:rsidR="00CA392F">
        <w:rPr>
          <w:rFonts w:ascii="Calibri" w:hAnsi="Calibri" w:cs="Calibri"/>
          <w:sz w:val="22"/>
          <w:szCs w:val="22"/>
          <w:lang w:eastAsia="nl-NL"/>
        </w:rPr>
        <w:t>A</w:t>
      </w:r>
      <w:r w:rsidR="00CA392F" w:rsidRPr="009A6F89">
        <w:rPr>
          <w:rFonts w:ascii="Calibri" w:hAnsi="Calibri" w:cs="Calibri"/>
          <w:sz w:val="22"/>
          <w:szCs w:val="22"/>
          <w:lang w:eastAsia="nl-NL"/>
        </w:rPr>
        <w:t xml:space="preserve">rticle </w:t>
      </w:r>
      <w:r w:rsidRPr="009A6F89">
        <w:rPr>
          <w:rFonts w:ascii="Calibri" w:hAnsi="Calibri" w:cs="Calibri"/>
          <w:sz w:val="22"/>
          <w:szCs w:val="22"/>
          <w:lang w:eastAsia="nl-NL"/>
        </w:rPr>
        <w:t xml:space="preserve">63 of the AML/CTF </w:t>
      </w:r>
      <w:r w:rsidR="00CA392F">
        <w:rPr>
          <w:rFonts w:ascii="Calibri" w:hAnsi="Calibri" w:cs="Calibri"/>
          <w:sz w:val="22"/>
          <w:szCs w:val="22"/>
          <w:lang w:eastAsia="nl-NL"/>
        </w:rPr>
        <w:t>A</w:t>
      </w:r>
      <w:r w:rsidR="00CA392F" w:rsidRPr="009A6F89">
        <w:rPr>
          <w:rFonts w:ascii="Calibri" w:hAnsi="Calibri" w:cs="Calibri"/>
          <w:sz w:val="22"/>
          <w:szCs w:val="22"/>
          <w:lang w:eastAsia="nl-NL"/>
        </w:rPr>
        <w:t xml:space="preserve">ct </w:t>
      </w:r>
      <w:r w:rsidRPr="009A6F89">
        <w:rPr>
          <w:rFonts w:ascii="Calibri" w:hAnsi="Calibri" w:cs="Calibri"/>
          <w:sz w:val="22"/>
          <w:szCs w:val="22"/>
          <w:lang w:eastAsia="nl-NL"/>
        </w:rPr>
        <w:t xml:space="preserve">to provide feedback to the reporting entities, and it seems </w:t>
      </w:r>
      <w:r w:rsidR="00CA392F">
        <w:rPr>
          <w:rFonts w:ascii="Calibri" w:hAnsi="Calibri" w:cs="Calibri"/>
          <w:sz w:val="22"/>
          <w:szCs w:val="22"/>
          <w:lang w:eastAsia="nl-NL"/>
        </w:rPr>
        <w:t xml:space="preserve">that </w:t>
      </w:r>
      <w:r w:rsidRPr="009A6F89">
        <w:rPr>
          <w:rFonts w:ascii="Calibri" w:hAnsi="Calibri" w:cs="Calibri"/>
          <w:sz w:val="22"/>
          <w:szCs w:val="22"/>
          <w:lang w:eastAsia="nl-NL"/>
        </w:rPr>
        <w:t>it does so, on a general basis</w:t>
      </w:r>
      <w:r w:rsidR="00CA392F">
        <w:rPr>
          <w:rFonts w:ascii="Calibri" w:hAnsi="Calibri" w:cs="Calibri"/>
          <w:sz w:val="22"/>
          <w:szCs w:val="22"/>
          <w:lang w:eastAsia="nl-NL"/>
        </w:rPr>
        <w:t>,</w:t>
      </w:r>
      <w:r w:rsidRPr="009A6F89">
        <w:rPr>
          <w:rFonts w:ascii="Calibri" w:hAnsi="Calibri" w:cs="Calibri"/>
          <w:sz w:val="22"/>
          <w:szCs w:val="22"/>
          <w:lang w:eastAsia="nl-NL"/>
        </w:rPr>
        <w:t xml:space="preserve"> by </w:t>
      </w:r>
      <w:r w:rsidR="00CA392F">
        <w:rPr>
          <w:rFonts w:ascii="Calibri" w:hAnsi="Calibri" w:cs="Calibri"/>
          <w:sz w:val="22"/>
          <w:szCs w:val="22"/>
          <w:lang w:eastAsia="nl-NL"/>
        </w:rPr>
        <w:t>‘</w:t>
      </w:r>
      <w:r w:rsidRPr="009A6F89">
        <w:rPr>
          <w:rFonts w:ascii="Calibri" w:hAnsi="Calibri" w:cs="Calibri"/>
          <w:sz w:val="22"/>
          <w:szCs w:val="22"/>
          <w:lang w:eastAsia="nl-NL"/>
        </w:rPr>
        <w:t>publicly releasing periodic reports</w:t>
      </w:r>
      <w:r w:rsidR="00CA392F">
        <w:rPr>
          <w:rFonts w:ascii="Calibri" w:hAnsi="Calibri" w:cs="Calibri"/>
          <w:sz w:val="22"/>
          <w:szCs w:val="22"/>
          <w:lang w:eastAsia="nl-NL"/>
        </w:rPr>
        <w:t>’</w:t>
      </w:r>
      <w:r w:rsidR="00CA392F"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The FIU reported giving </w:t>
      </w:r>
      <w:r w:rsidR="00CA392F">
        <w:rPr>
          <w:rFonts w:ascii="Calibri" w:hAnsi="Calibri" w:cs="Calibri"/>
          <w:sz w:val="22"/>
          <w:szCs w:val="22"/>
          <w:lang w:eastAsia="nl-NL"/>
        </w:rPr>
        <w:t>seven</w:t>
      </w:r>
      <w:r w:rsidR="00CA392F" w:rsidRPr="009A6F89">
        <w:rPr>
          <w:rFonts w:ascii="Calibri" w:hAnsi="Calibri" w:cs="Calibri"/>
          <w:sz w:val="22"/>
          <w:szCs w:val="22"/>
          <w:lang w:eastAsia="nl-NL"/>
        </w:rPr>
        <w:t xml:space="preserve"> </w:t>
      </w:r>
      <w:r w:rsidRPr="009A6F89">
        <w:rPr>
          <w:rFonts w:ascii="Calibri" w:hAnsi="Calibri" w:cs="Calibri"/>
          <w:sz w:val="22"/>
          <w:szCs w:val="22"/>
          <w:lang w:eastAsia="nl-NL"/>
        </w:rPr>
        <w:t>training</w:t>
      </w:r>
      <w:r>
        <w:rPr>
          <w:rFonts w:ascii="Calibri" w:hAnsi="Calibri" w:cs="Calibri"/>
          <w:sz w:val="22"/>
          <w:szCs w:val="22"/>
          <w:lang w:eastAsia="nl-NL"/>
        </w:rPr>
        <w:t xml:space="preserve"> session</w:t>
      </w:r>
      <w:r w:rsidRPr="009A6F89">
        <w:rPr>
          <w:rFonts w:ascii="Calibri" w:hAnsi="Calibri" w:cs="Calibri"/>
          <w:sz w:val="22"/>
          <w:szCs w:val="22"/>
          <w:lang w:eastAsia="nl-NL"/>
        </w:rPr>
        <w:t>s in 2009</w:t>
      </w:r>
      <w:r w:rsidR="00CA392F">
        <w:rPr>
          <w:rFonts w:ascii="Calibri" w:hAnsi="Calibri" w:cs="Calibri"/>
          <w:sz w:val="22"/>
          <w:szCs w:val="22"/>
          <w:lang w:eastAsia="nl-NL"/>
        </w:rPr>
        <w:t>,</w:t>
      </w:r>
      <w:r w:rsidRPr="009A6F89">
        <w:rPr>
          <w:rFonts w:ascii="Calibri" w:hAnsi="Calibri" w:cs="Calibri"/>
          <w:sz w:val="22"/>
          <w:szCs w:val="22"/>
          <w:lang w:eastAsia="nl-NL"/>
        </w:rPr>
        <w:t xml:space="preserve"> and</w:t>
      </w:r>
      <w:r w:rsidR="00CA392F">
        <w:rPr>
          <w:rFonts w:ascii="Calibri" w:hAnsi="Calibri" w:cs="Calibri"/>
          <w:sz w:val="22"/>
          <w:szCs w:val="22"/>
          <w:lang w:eastAsia="nl-NL"/>
        </w:rPr>
        <w:t>,</w:t>
      </w:r>
      <w:r w:rsidRPr="009A6F89">
        <w:rPr>
          <w:rFonts w:ascii="Calibri" w:hAnsi="Calibri" w:cs="Calibri"/>
          <w:sz w:val="22"/>
          <w:szCs w:val="22"/>
          <w:lang w:eastAsia="nl-NL"/>
        </w:rPr>
        <w:t xml:space="preserve"> in 2010, it provided almost 60 hours of lectures for the purpose of training reporting entities.</w:t>
      </w:r>
      <w:r w:rsidRPr="009A6F89">
        <w:rPr>
          <w:rFonts w:ascii="Calibri" w:hAnsi="Calibri"/>
          <w:sz w:val="22"/>
          <w:szCs w:val="22"/>
          <w:vertAlign w:val="superscript"/>
          <w:lang w:eastAsia="nl-NL"/>
        </w:rPr>
        <w:footnoteReference w:id="24"/>
      </w:r>
    </w:p>
    <w:p w14:paraId="129DEA8B" w14:textId="1FED3B22" w:rsidR="006D4083" w:rsidRPr="009A6F89" w:rsidRDefault="006D4083" w:rsidP="006D4083">
      <w:pPr>
        <w:spacing w:after="200"/>
        <w:jc w:val="both"/>
        <w:rPr>
          <w:rFonts w:ascii="Calibri" w:hAnsi="Calibri" w:cs="Calibri"/>
          <w:sz w:val="22"/>
          <w:szCs w:val="22"/>
          <w:lang w:eastAsia="nl-NL"/>
        </w:rPr>
      </w:pPr>
      <w:r w:rsidRPr="009A6F89">
        <w:rPr>
          <w:rFonts w:ascii="Calibri" w:hAnsi="Calibri" w:cs="Calibri"/>
          <w:sz w:val="22"/>
          <w:szCs w:val="22"/>
          <w:lang w:eastAsia="nl-NL"/>
        </w:rPr>
        <w:t>General feedback from the</w:t>
      </w:r>
      <w:r w:rsidRPr="009A6F89">
        <w:rPr>
          <w:rFonts w:ascii="Calibri" w:hAnsi="Calibri" w:cs="Calibri"/>
          <w:b/>
          <w:sz w:val="22"/>
          <w:szCs w:val="22"/>
          <w:lang w:eastAsia="nl-NL"/>
        </w:rPr>
        <w:t xml:space="preserve"> Spanish </w:t>
      </w:r>
      <w:r w:rsidRPr="009A6F89">
        <w:rPr>
          <w:rFonts w:ascii="Calibri" w:hAnsi="Calibri" w:cs="Calibri"/>
          <w:sz w:val="22"/>
          <w:szCs w:val="22"/>
          <w:lang w:eastAsia="nl-NL"/>
        </w:rPr>
        <w:t xml:space="preserve">FIU is </w:t>
      </w:r>
      <w:r>
        <w:rPr>
          <w:rFonts w:ascii="Calibri" w:hAnsi="Calibri" w:cs="Calibri"/>
          <w:sz w:val="22"/>
          <w:szCs w:val="22"/>
          <w:lang w:eastAsia="nl-NL"/>
        </w:rPr>
        <w:t>primarily</w:t>
      </w:r>
      <w:r w:rsidRPr="009A6F89">
        <w:rPr>
          <w:rFonts w:ascii="Calibri" w:hAnsi="Calibri" w:cs="Calibri"/>
          <w:sz w:val="22"/>
          <w:szCs w:val="22"/>
          <w:lang w:eastAsia="nl-NL"/>
        </w:rPr>
        <w:t xml:space="preserve"> provided by means of an annual report, which is published on its website. These annual reports contain statistical data on the functioning of the FIU and information about technological developments. Second, the FIU has thus far drafted three sector-specific guidelines. The guidelines aim to give practical guidance on how to deal with risks in specific business sectors, on the interpretation of legal provisions, and on how to comply with the reporting obligation. Third, the FIU </w:t>
      </w:r>
      <w:r w:rsidR="00CA392F" w:rsidRPr="009A6F89">
        <w:rPr>
          <w:rFonts w:ascii="Calibri" w:hAnsi="Calibri" w:cs="Calibri"/>
          <w:sz w:val="22"/>
          <w:szCs w:val="22"/>
          <w:lang w:eastAsia="nl-NL"/>
        </w:rPr>
        <w:t>organ</w:t>
      </w:r>
      <w:r w:rsidR="00CA392F">
        <w:rPr>
          <w:rFonts w:ascii="Calibri" w:hAnsi="Calibri" w:cs="Calibri"/>
          <w:sz w:val="22"/>
          <w:szCs w:val="22"/>
          <w:lang w:eastAsia="nl-NL"/>
        </w:rPr>
        <w:t>ize</w:t>
      </w:r>
      <w:r w:rsidR="00CA392F" w:rsidRPr="009A6F89">
        <w:rPr>
          <w:rFonts w:ascii="Calibri" w:hAnsi="Calibri" w:cs="Calibri"/>
          <w:sz w:val="22"/>
          <w:szCs w:val="22"/>
          <w:lang w:eastAsia="nl-NL"/>
        </w:rPr>
        <w:t xml:space="preserve">s </w:t>
      </w:r>
      <w:r w:rsidRPr="009A6F89">
        <w:rPr>
          <w:rFonts w:ascii="Calibri" w:hAnsi="Calibri" w:cs="Calibri"/>
          <w:sz w:val="22"/>
          <w:szCs w:val="22"/>
          <w:lang w:eastAsia="nl-NL"/>
        </w:rPr>
        <w:t>meetings and training seminars with representatives from reporting institutions.</w:t>
      </w:r>
    </w:p>
    <w:p w14:paraId="4F3BA399" w14:textId="11EFEFDD"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According to the </w:t>
      </w:r>
      <w:r w:rsidRPr="009A6F89">
        <w:rPr>
          <w:rFonts w:ascii="Calibri" w:eastAsia="Times New Roman" w:hAnsi="Calibri"/>
          <w:b/>
          <w:sz w:val="22"/>
          <w:szCs w:val="22"/>
          <w:lang w:eastAsia="nl-NL"/>
        </w:rPr>
        <w:t>Swedish</w:t>
      </w:r>
      <w:r w:rsidRPr="009A6F89">
        <w:rPr>
          <w:rFonts w:ascii="Calibri" w:eastAsia="Times New Roman" w:hAnsi="Calibri"/>
          <w:sz w:val="22"/>
          <w:szCs w:val="22"/>
          <w:lang w:eastAsia="nl-NL"/>
        </w:rPr>
        <w:t xml:space="preserve"> FIU, to obtain a higher reporting quality the reporting bodies must receive more feedback from the FIU and participate in seminars arranged by the supervising bodies and authorities in cooperation with the FIU. The FIU gives feedback through its annual reports. Many of the reporting bodies have requested more detailed feedback regarding their reports. However, legislative stipulations restrict the FIU</w:t>
      </w:r>
      <w:r w:rsidR="004814E6">
        <w:rPr>
          <w:rFonts w:ascii="Calibri" w:eastAsia="Times New Roman" w:hAnsi="Calibri"/>
          <w:sz w:val="22"/>
          <w:szCs w:val="22"/>
          <w:lang w:eastAsia="nl-NL"/>
        </w:rPr>
        <w:t>’</w:t>
      </w:r>
      <w:r w:rsidRPr="009A6F89">
        <w:rPr>
          <w:rFonts w:ascii="Calibri" w:eastAsia="Times New Roman" w:hAnsi="Calibri"/>
          <w:sz w:val="22"/>
          <w:szCs w:val="22"/>
          <w:lang w:eastAsia="nl-NL"/>
        </w:rPr>
        <w:t xml:space="preserve">s </w:t>
      </w:r>
      <w:r>
        <w:rPr>
          <w:rFonts w:ascii="Calibri" w:eastAsia="Times New Roman" w:hAnsi="Calibri"/>
          <w:sz w:val="22"/>
          <w:szCs w:val="22"/>
          <w:lang w:eastAsia="nl-NL"/>
        </w:rPr>
        <w:t>ability to</w:t>
      </w:r>
      <w:r w:rsidRPr="009A6F89">
        <w:rPr>
          <w:rFonts w:ascii="Calibri" w:eastAsia="Times New Roman" w:hAnsi="Calibri"/>
          <w:sz w:val="22"/>
          <w:szCs w:val="22"/>
          <w:lang w:eastAsia="nl-NL"/>
        </w:rPr>
        <w:t xml:space="preserve"> divulg</w:t>
      </w:r>
      <w:r>
        <w:rPr>
          <w:rFonts w:ascii="Calibri" w:eastAsia="Times New Roman" w:hAnsi="Calibri"/>
          <w:sz w:val="22"/>
          <w:szCs w:val="22"/>
          <w:lang w:eastAsia="nl-NL"/>
        </w:rPr>
        <w:t>e</w:t>
      </w:r>
      <w:r w:rsidRPr="009A6F89">
        <w:rPr>
          <w:rFonts w:ascii="Calibri" w:eastAsia="Times New Roman" w:hAnsi="Calibri"/>
          <w:sz w:val="22"/>
          <w:szCs w:val="22"/>
          <w:lang w:eastAsia="nl-NL"/>
        </w:rPr>
        <w:t xml:space="preserve"> the requested information.</w:t>
      </w:r>
      <w:r w:rsidRPr="009A6F89">
        <w:rPr>
          <w:rFonts w:ascii="Calibri" w:eastAsia="Times New Roman" w:hAnsi="Calibri"/>
          <w:sz w:val="22"/>
          <w:szCs w:val="22"/>
          <w:vertAlign w:val="superscript"/>
          <w:lang w:eastAsia="nl-NL"/>
        </w:rPr>
        <w:footnoteReference w:id="25"/>
      </w:r>
      <w:r w:rsidRPr="009A6F89">
        <w:rPr>
          <w:rFonts w:ascii="Calibri" w:eastAsia="Times New Roman" w:hAnsi="Calibri"/>
          <w:sz w:val="22"/>
          <w:szCs w:val="22"/>
          <w:lang w:eastAsia="nl-NL"/>
        </w:rPr>
        <w:t xml:space="preserve"> The annual reports of the FIU contain recent money laundering trends, techniques and money laundering statistic</w:t>
      </w:r>
      <w:r>
        <w:rPr>
          <w:rFonts w:ascii="Calibri" w:eastAsia="Times New Roman" w:hAnsi="Calibri"/>
          <w:sz w:val="22"/>
          <w:szCs w:val="22"/>
          <w:lang w:eastAsia="nl-NL"/>
        </w:rPr>
        <w:t>s,</w:t>
      </w:r>
      <w:r w:rsidRPr="009A6F89">
        <w:rPr>
          <w:rFonts w:ascii="Calibri" w:eastAsia="Times New Roman" w:hAnsi="Calibri"/>
          <w:sz w:val="22"/>
          <w:szCs w:val="22"/>
          <w:lang w:eastAsia="nl-NL"/>
        </w:rPr>
        <w:t xml:space="preserve"> and information regarding activities conducted by the FIU. The FIU also informs financial institutions if and when STRs </w:t>
      </w:r>
      <w:r w:rsidR="004814E6">
        <w:rPr>
          <w:rFonts w:ascii="Calibri" w:eastAsia="Times New Roman" w:hAnsi="Calibri"/>
          <w:sz w:val="22"/>
          <w:szCs w:val="22"/>
          <w:lang w:eastAsia="nl-NL"/>
        </w:rPr>
        <w:t xml:space="preserve">have </w:t>
      </w:r>
      <w:r w:rsidRPr="009A6F89">
        <w:rPr>
          <w:rFonts w:ascii="Calibri" w:eastAsia="Times New Roman" w:hAnsi="Calibri"/>
          <w:sz w:val="22"/>
          <w:szCs w:val="22"/>
          <w:lang w:eastAsia="nl-NL"/>
        </w:rPr>
        <w:t xml:space="preserve">resulted in a case being forwarded to </w:t>
      </w:r>
      <w:r w:rsidR="004814E6">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law enforcement authority, in a preliminary investigation being opened, or if a sentence is pronounced. Other reporting entities are given a receipt after sending an STR. The formula gives information </w:t>
      </w:r>
      <w:r w:rsidR="004814E6">
        <w:rPr>
          <w:rFonts w:ascii="Calibri" w:eastAsia="Times New Roman" w:hAnsi="Calibri"/>
          <w:sz w:val="22"/>
          <w:szCs w:val="22"/>
          <w:lang w:eastAsia="nl-NL"/>
        </w:rPr>
        <w:t>about</w:t>
      </w:r>
      <w:r w:rsidR="004814E6"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 person in charge, phone number and case number.</w:t>
      </w:r>
      <w:r w:rsidRPr="009A6F89">
        <w:rPr>
          <w:rFonts w:ascii="Calibri" w:eastAsia="Times New Roman" w:hAnsi="Calibri"/>
          <w:sz w:val="22"/>
          <w:szCs w:val="22"/>
          <w:vertAlign w:val="superscript"/>
          <w:lang w:eastAsia="nl-NL"/>
        </w:rPr>
        <w:footnoteReference w:id="26"/>
      </w:r>
    </w:p>
    <w:p w14:paraId="3DFFFAE6" w14:textId="585632F3" w:rsidR="006D4083" w:rsidRPr="009A6F89" w:rsidRDefault="006D4083" w:rsidP="006D4083">
      <w:pPr>
        <w:spacing w:after="200"/>
        <w:jc w:val="both"/>
        <w:rPr>
          <w:rFonts w:ascii="Calibri" w:eastAsia="Times New Roman" w:hAnsi="Calibri"/>
          <w:sz w:val="22"/>
          <w:szCs w:val="22"/>
          <w:lang w:eastAsia="nl-NL"/>
        </w:rPr>
      </w:pPr>
      <w:r w:rsidRPr="009A6F89">
        <w:rPr>
          <w:rFonts w:ascii="Calibri" w:eastAsia="Times New Roman" w:hAnsi="Calibri"/>
          <w:b/>
          <w:sz w:val="22"/>
          <w:szCs w:val="22"/>
          <w:lang w:eastAsia="nl-NL"/>
        </w:rPr>
        <w:lastRenderedPageBreak/>
        <w:t>UK</w:t>
      </w:r>
      <w:r>
        <w:rPr>
          <w:rFonts w:ascii="Calibri" w:eastAsia="Times New Roman" w:hAnsi="Calibri"/>
          <w:b/>
          <w:sz w:val="22"/>
          <w:szCs w:val="22"/>
          <w:lang w:eastAsia="nl-NL"/>
        </w:rPr>
        <w:t xml:space="preserve"> </w:t>
      </w:r>
      <w:r w:rsidRPr="00703BF0">
        <w:rPr>
          <w:rFonts w:ascii="Calibri" w:eastAsia="Times New Roman" w:hAnsi="Calibri"/>
          <w:sz w:val="22"/>
          <w:szCs w:val="22"/>
          <w:lang w:eastAsia="nl-NL"/>
        </w:rPr>
        <w:t>FIU</w:t>
      </w:r>
      <w:r w:rsidRPr="009A6F89">
        <w:rPr>
          <w:rFonts w:ascii="Calibri" w:eastAsia="Times New Roman" w:hAnsi="Calibri"/>
          <w:sz w:val="22"/>
          <w:szCs w:val="22"/>
          <w:lang w:eastAsia="nl-NL"/>
        </w:rPr>
        <w:t xml:space="preserve"> sends automatic acknowledgements of receipt to businesses that report via SAR Online and encrypted mail. UK</w:t>
      </w:r>
      <w:r>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FIU provides general feedback by means of the SARs Annual Report, notices on its website and guidance documents. </w:t>
      </w:r>
      <w:r>
        <w:rPr>
          <w:rFonts w:ascii="Calibri" w:eastAsia="Times New Roman" w:hAnsi="Calibri"/>
          <w:sz w:val="22"/>
          <w:szCs w:val="22"/>
          <w:lang w:eastAsia="nl-NL"/>
        </w:rPr>
        <w:t>The feedback to the top ten reporters will be delivered in 2012</w:t>
      </w:r>
      <w:r w:rsidR="00975A83">
        <w:rPr>
          <w:rFonts w:ascii="Calibri" w:eastAsia="Times New Roman" w:hAnsi="Calibri"/>
          <w:sz w:val="22"/>
          <w:szCs w:val="22"/>
          <w:lang w:eastAsia="nl-NL"/>
        </w:rPr>
        <w:t>–</w:t>
      </w:r>
      <w:r>
        <w:rPr>
          <w:rFonts w:ascii="Calibri" w:eastAsia="Times New Roman" w:hAnsi="Calibri"/>
          <w:sz w:val="22"/>
          <w:szCs w:val="22"/>
          <w:lang w:eastAsia="nl-NL"/>
        </w:rPr>
        <w:t>13. UK FIU is currently renegotiating their model of engagement with the financial industry to ensure feedback is provided in a format which is most helpful to them.</w:t>
      </w:r>
      <w:r w:rsidRPr="009A6F89">
        <w:rPr>
          <w:rFonts w:ascii="Calibri" w:eastAsia="Times New Roman" w:hAnsi="Calibri"/>
          <w:sz w:val="22"/>
          <w:szCs w:val="22"/>
          <w:lang w:eastAsia="nl-NL"/>
        </w:rPr>
        <w:t xml:space="preserve"> Another </w:t>
      </w:r>
      <w:r>
        <w:rPr>
          <w:rFonts w:ascii="Calibri" w:eastAsia="Times New Roman" w:hAnsi="Calibri"/>
          <w:sz w:val="22"/>
          <w:szCs w:val="22"/>
          <w:lang w:eastAsia="nl-NL"/>
        </w:rPr>
        <w:t xml:space="preserve">feedback </w:t>
      </w:r>
      <w:r w:rsidRPr="009A6F89">
        <w:rPr>
          <w:rFonts w:ascii="Calibri" w:eastAsia="Times New Roman" w:hAnsi="Calibri"/>
          <w:sz w:val="22"/>
          <w:szCs w:val="22"/>
          <w:lang w:eastAsia="nl-NL"/>
        </w:rPr>
        <w:t>tool is the Twice Yearly Feedback Questionnaire</w:t>
      </w:r>
      <w:r w:rsidR="00975A83">
        <w:rPr>
          <w:rFonts w:ascii="Calibri" w:eastAsia="Times New Roman" w:hAnsi="Calibri"/>
          <w:sz w:val="22"/>
          <w:szCs w:val="22"/>
          <w:lang w:eastAsia="nl-NL"/>
        </w:rPr>
        <w:t xml:space="preserve"> (TYFQ)</w:t>
      </w:r>
      <w:r w:rsidRPr="009A6F89">
        <w:rPr>
          <w:rFonts w:ascii="Calibri" w:eastAsia="Times New Roman" w:hAnsi="Calibri"/>
          <w:sz w:val="22"/>
          <w:szCs w:val="22"/>
          <w:lang w:eastAsia="nl-NL"/>
        </w:rPr>
        <w:t xml:space="preserve">. Here, end-users of the SAR database (i.e. law enforcement agencies) are required </w:t>
      </w:r>
      <w:r>
        <w:rPr>
          <w:rFonts w:ascii="Calibri" w:eastAsia="Times New Roman" w:hAnsi="Calibri"/>
          <w:sz w:val="22"/>
          <w:szCs w:val="22"/>
          <w:lang w:eastAsia="nl-NL"/>
        </w:rPr>
        <w:t xml:space="preserve">to </w:t>
      </w:r>
      <w:r w:rsidRPr="009A6F89">
        <w:rPr>
          <w:rFonts w:ascii="Calibri" w:eastAsia="Times New Roman" w:hAnsi="Calibri"/>
          <w:sz w:val="22"/>
          <w:szCs w:val="22"/>
          <w:lang w:eastAsia="nl-NL"/>
        </w:rPr>
        <w:t xml:space="preserve">fill in </w:t>
      </w:r>
      <w:r>
        <w:rPr>
          <w:rFonts w:ascii="Calibri" w:eastAsia="Times New Roman" w:hAnsi="Calibri"/>
          <w:sz w:val="22"/>
          <w:szCs w:val="22"/>
          <w:lang w:eastAsia="nl-NL"/>
        </w:rPr>
        <w:t>a</w:t>
      </w:r>
      <w:r w:rsidRPr="009A6F89">
        <w:rPr>
          <w:rFonts w:ascii="Calibri" w:eastAsia="Times New Roman" w:hAnsi="Calibri"/>
          <w:sz w:val="22"/>
          <w:szCs w:val="22"/>
          <w:lang w:eastAsia="nl-NL"/>
        </w:rPr>
        <w:t xml:space="preserve"> report on how they have used SARs in their investigations</w:t>
      </w:r>
      <w:r w:rsidR="00975A83">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7"/>
      </w:r>
      <w:r w:rsidRPr="009A6F89">
        <w:rPr>
          <w:rFonts w:ascii="Calibri" w:eastAsia="Times New Roman" w:hAnsi="Calibri"/>
          <w:sz w:val="22"/>
          <w:szCs w:val="22"/>
          <w:lang w:eastAsia="nl-NL"/>
        </w:rPr>
        <w:t xml:space="preserve"> This way, UK FIU is aware </w:t>
      </w:r>
      <w:r w:rsidR="00975A83">
        <w:rPr>
          <w:rFonts w:ascii="Calibri" w:eastAsia="Times New Roman" w:hAnsi="Calibri"/>
          <w:sz w:val="22"/>
          <w:szCs w:val="22"/>
          <w:lang w:eastAsia="nl-NL"/>
        </w:rPr>
        <w:t>of</w:t>
      </w:r>
      <w:r w:rsidR="00975A8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the status and usefulness of the SARs. It is, however, difficult to share these TYFQs with reporting institutions because some of the case studies are cases that are still being investigated or prosecuted or that contain an obvious link with a specific SAR (and using this would constitute a breach of confidentiality). Overall</w:t>
      </w:r>
      <w:r w:rsidR="00975A83">
        <w:rPr>
          <w:rFonts w:ascii="Calibri" w:eastAsia="Times New Roman" w:hAnsi="Calibri"/>
          <w:sz w:val="22"/>
          <w:szCs w:val="22"/>
          <w:lang w:eastAsia="nl-NL"/>
        </w:rPr>
        <w:t>,</w:t>
      </w:r>
      <w:r w:rsidRPr="009A6F89">
        <w:rPr>
          <w:rFonts w:ascii="Calibri" w:eastAsia="Times New Roman" w:hAnsi="Calibri"/>
          <w:sz w:val="22"/>
          <w:szCs w:val="22"/>
          <w:lang w:eastAsia="nl-NL"/>
        </w:rPr>
        <w:t xml:space="preserve"> however, </w:t>
      </w:r>
      <w:r w:rsidR="00975A83">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feedback provided is generic. The UK FIU works together with other law enforcement agencies to raise awareness on AML/CTF matters. This is done on a yearly basis</w:t>
      </w:r>
      <w:r w:rsidR="00975A83">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8"/>
      </w:r>
      <w:r w:rsidRPr="009A6F89">
        <w:rPr>
          <w:rFonts w:ascii="Calibri" w:eastAsia="Times New Roman" w:hAnsi="Calibri"/>
          <w:sz w:val="22"/>
          <w:szCs w:val="22"/>
          <w:lang w:eastAsia="nl-NL"/>
        </w:rPr>
        <w:t xml:space="preserve"> </w:t>
      </w:r>
      <w:r>
        <w:rPr>
          <w:rFonts w:ascii="Calibri" w:eastAsia="Times New Roman" w:hAnsi="Calibri"/>
          <w:sz w:val="22"/>
          <w:szCs w:val="22"/>
          <w:lang w:eastAsia="nl-NL"/>
        </w:rPr>
        <w:t xml:space="preserve">Apart from the specific examples provided above, the FIU considers that it would be impractical to give individual feedback on an estimated 285,000 SARs submitted to the UK FIU in 2012, and therefore </w:t>
      </w:r>
      <w:r w:rsidR="00975A83">
        <w:rPr>
          <w:rFonts w:ascii="Calibri" w:eastAsia="Times New Roman" w:hAnsi="Calibri"/>
          <w:sz w:val="22"/>
          <w:szCs w:val="22"/>
          <w:lang w:eastAsia="nl-NL"/>
        </w:rPr>
        <w:t xml:space="preserve">will </w:t>
      </w:r>
      <w:r>
        <w:rPr>
          <w:rFonts w:ascii="Calibri" w:eastAsia="Times New Roman" w:hAnsi="Calibri"/>
          <w:sz w:val="22"/>
          <w:szCs w:val="22"/>
          <w:lang w:eastAsia="nl-NL"/>
        </w:rPr>
        <w:t xml:space="preserve">continue to use a model that gives generic feedback. </w:t>
      </w:r>
    </w:p>
    <w:p w14:paraId="20492CFD" w14:textId="77777777" w:rsidR="00BE54E9" w:rsidRPr="006D4083" w:rsidRDefault="00BE54E9" w:rsidP="00BE54E9">
      <w:pPr>
        <w:rPr>
          <w:rFonts w:ascii="Calibri" w:eastAsiaTheme="majorEastAsia" w:hAnsi="Calibri" w:cs="Calibri"/>
          <w:b/>
          <w:iCs/>
          <w:sz w:val="28"/>
          <w:szCs w:val="28"/>
        </w:rPr>
      </w:pPr>
    </w:p>
    <w:sectPr w:rsidR="00BE54E9" w:rsidRPr="006D4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0C398" w14:textId="77777777" w:rsidR="00A6771C" w:rsidRDefault="00A6771C" w:rsidP="006D4083">
      <w:r>
        <w:separator/>
      </w:r>
    </w:p>
  </w:endnote>
  <w:endnote w:type="continuationSeparator" w:id="0">
    <w:p w14:paraId="2D53DFF5" w14:textId="77777777" w:rsidR="00A6771C" w:rsidRDefault="00A6771C" w:rsidP="006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C86E" w14:textId="77777777" w:rsidR="00A6771C" w:rsidRDefault="00A6771C" w:rsidP="006D4083">
      <w:r>
        <w:separator/>
      </w:r>
    </w:p>
  </w:footnote>
  <w:footnote w:type="continuationSeparator" w:id="0">
    <w:p w14:paraId="590BD7BA" w14:textId="77777777" w:rsidR="00A6771C" w:rsidRDefault="00A6771C" w:rsidP="006D4083">
      <w:r>
        <w:continuationSeparator/>
      </w:r>
    </w:p>
  </w:footnote>
  <w:footnote w:id="1">
    <w:p w14:paraId="52323FDF" w14:textId="7DED85CA" w:rsidR="006D4083" w:rsidRPr="006D4083" w:rsidRDefault="006D4083" w:rsidP="00975A83">
      <w:pPr>
        <w:pStyle w:val="FootnoteText"/>
      </w:pPr>
      <w:r>
        <w:rPr>
          <w:rStyle w:val="FootnoteReference"/>
        </w:rPr>
        <w:footnoteRef/>
      </w:r>
      <w:r>
        <w:t xml:space="preserve"> </w:t>
      </w:r>
      <w:r w:rsidRPr="007308A8">
        <w:t>This is an online appendix to</w:t>
      </w:r>
      <w:r w:rsidRPr="00E9297A">
        <w:t xml:space="preserve"> The Economic and Legal Effectiveness of the European Union’s Anti-Money Laundering Policy</w:t>
      </w:r>
      <w:r w:rsidRPr="007308A8">
        <w:t xml:space="preserve">, </w:t>
      </w:r>
      <w:r w:rsidR="0001117B">
        <w:t>C</w:t>
      </w:r>
      <w:r w:rsidR="0001117B" w:rsidRPr="007308A8">
        <w:t xml:space="preserve">hapter </w:t>
      </w:r>
      <w:r w:rsidRPr="007308A8">
        <w:t>7.</w:t>
      </w:r>
    </w:p>
  </w:footnote>
  <w:footnote w:id="2">
    <w:p w14:paraId="6CC92E11" w14:textId="1C329DB5" w:rsidR="006D4083" w:rsidRDefault="006D4083" w:rsidP="00975A83">
      <w:pPr>
        <w:pStyle w:val="FootnoteText"/>
      </w:pPr>
      <w:r>
        <w:rPr>
          <w:rStyle w:val="FootnoteReference"/>
        </w:rPr>
        <w:footnoteRef/>
      </w:r>
      <w:r>
        <w:t xml:space="preserve"> FIU Austria</w:t>
      </w:r>
      <w:r w:rsidR="0001117B">
        <w:t xml:space="preserve"> </w:t>
      </w:r>
      <w:r>
        <w:t xml:space="preserve">(2011), </w:t>
      </w:r>
      <w:r w:rsidR="00F8033C">
        <w:t>‘</w:t>
      </w:r>
      <w:r w:rsidRPr="007308A8">
        <w:t>Annual Report</w:t>
      </w:r>
      <w:r w:rsidR="00F8033C">
        <w:t>’</w:t>
      </w:r>
      <w:r w:rsidRPr="00F8033C">
        <w:t>,</w:t>
      </w:r>
      <w:r>
        <w:t xml:space="preserve"> p.</w:t>
      </w:r>
      <w:r w:rsidR="00F8033C">
        <w:t xml:space="preserve"> </w:t>
      </w:r>
      <w:r>
        <w:t>6</w:t>
      </w:r>
      <w:r w:rsidR="0001117B">
        <w:t>.</w:t>
      </w:r>
    </w:p>
  </w:footnote>
  <w:footnote w:id="3">
    <w:p w14:paraId="7CF93D21" w14:textId="5CD8DE07" w:rsidR="006D4083" w:rsidRDefault="006D4083" w:rsidP="00975A83">
      <w:pPr>
        <w:pStyle w:val="FootnoteText"/>
      </w:pPr>
      <w:r>
        <w:rPr>
          <w:rStyle w:val="FootnoteReference"/>
        </w:rPr>
        <w:footnoteRef/>
      </w:r>
      <w:r>
        <w:t xml:space="preserve"> FATF (2009</w:t>
      </w:r>
      <w:r w:rsidR="00F8033C">
        <w:t>c</w:t>
      </w:r>
      <w:r>
        <w:t>),</w:t>
      </w:r>
      <w:r w:rsidR="0001117B">
        <w:t xml:space="preserve"> </w:t>
      </w:r>
      <w:r w:rsidRPr="001840B0">
        <w:t>p. 74</w:t>
      </w:r>
      <w:r w:rsidR="0001117B">
        <w:t>.</w:t>
      </w:r>
    </w:p>
  </w:footnote>
  <w:footnote w:id="4">
    <w:p w14:paraId="00AB1E0B" w14:textId="77777777" w:rsidR="006D4083" w:rsidRDefault="006D4083" w:rsidP="00975A83">
      <w:pPr>
        <w:pStyle w:val="FootnoteText"/>
      </w:pPr>
      <w:r>
        <w:rPr>
          <w:rStyle w:val="FootnoteReference"/>
        </w:rPr>
        <w:footnoteRef/>
      </w:r>
      <w:r w:rsidR="0001117B">
        <w:t xml:space="preserve"> </w:t>
      </w:r>
      <w:r w:rsidRPr="007308A8">
        <w:t>Ibid</w:t>
      </w:r>
      <w:r w:rsidRPr="0001117B">
        <w:t>.,</w:t>
      </w:r>
      <w:r w:rsidRPr="001840B0">
        <w:t xml:space="preserve"> p. 142</w:t>
      </w:r>
      <w:r w:rsidR="0001117B">
        <w:t>.</w:t>
      </w:r>
    </w:p>
  </w:footnote>
  <w:footnote w:id="5">
    <w:p w14:paraId="3FAC33A2" w14:textId="2A40259F" w:rsidR="006D4083" w:rsidRDefault="006D4083" w:rsidP="00975A83">
      <w:pPr>
        <w:pStyle w:val="FootnoteText"/>
      </w:pPr>
      <w:r>
        <w:rPr>
          <w:rStyle w:val="FootnoteReference"/>
        </w:rPr>
        <w:footnoteRef/>
      </w:r>
      <w:r w:rsidR="00A30667">
        <w:t xml:space="preserve"> </w:t>
      </w:r>
      <w:r w:rsidRPr="006B79DE">
        <w:t>M</w:t>
      </w:r>
      <w:r>
        <w:t>ONEYVAL (2011</w:t>
      </w:r>
      <w:r w:rsidR="00A30667">
        <w:t>c</w:t>
      </w:r>
      <w:r>
        <w:t>), p</w:t>
      </w:r>
      <w:r w:rsidR="00A30667">
        <w:t>.</w:t>
      </w:r>
      <w:r>
        <w:t xml:space="preserve"> 133</w:t>
      </w:r>
      <w:r w:rsidR="00A30667">
        <w:t>.</w:t>
      </w:r>
    </w:p>
  </w:footnote>
  <w:footnote w:id="6">
    <w:p w14:paraId="4C45AB10" w14:textId="3B4E2C58" w:rsidR="006D4083" w:rsidRDefault="006D4083" w:rsidP="00975A83">
      <w:pPr>
        <w:pStyle w:val="FootnoteText"/>
      </w:pPr>
      <w:r>
        <w:rPr>
          <w:rStyle w:val="FootnoteReference"/>
        </w:rPr>
        <w:footnoteRef/>
      </w:r>
      <w:r w:rsidR="00A30667">
        <w:rPr>
          <w:i/>
        </w:rPr>
        <w:t xml:space="preserve"> </w:t>
      </w:r>
      <w:r w:rsidRPr="007308A8">
        <w:t>Ibid</w:t>
      </w:r>
      <w:r w:rsidRPr="00A30667">
        <w:t>.,</w:t>
      </w:r>
      <w:r>
        <w:t xml:space="preserve"> p. 145</w:t>
      </w:r>
      <w:r w:rsidR="00A30667">
        <w:t>.</w:t>
      </w:r>
    </w:p>
  </w:footnote>
  <w:footnote w:id="7">
    <w:p w14:paraId="27C0689E" w14:textId="088B7162" w:rsidR="006D4083" w:rsidRDefault="006D4083" w:rsidP="00975A83">
      <w:pPr>
        <w:pStyle w:val="FootnoteText"/>
      </w:pPr>
      <w:r>
        <w:rPr>
          <w:rStyle w:val="FootnoteReference"/>
        </w:rPr>
        <w:footnoteRef/>
      </w:r>
      <w:r>
        <w:t xml:space="preserve"> FATF (2007</w:t>
      </w:r>
      <w:r w:rsidR="00A30667">
        <w:t>b</w:t>
      </w:r>
      <w:r>
        <w:t xml:space="preserve">), </w:t>
      </w:r>
      <w:r w:rsidRPr="00A557D1">
        <w:t>p. 60</w:t>
      </w:r>
      <w:r w:rsidR="00A30667">
        <w:t>.</w:t>
      </w:r>
    </w:p>
  </w:footnote>
  <w:footnote w:id="8">
    <w:p w14:paraId="1B7A4D24" w14:textId="68897DDD" w:rsidR="006D4083" w:rsidRDefault="006D4083" w:rsidP="00975A83">
      <w:pPr>
        <w:pStyle w:val="FootnoteText"/>
      </w:pPr>
      <w:r w:rsidRPr="00D3465E">
        <w:rPr>
          <w:rStyle w:val="FootnoteReference"/>
        </w:rPr>
        <w:footnoteRef/>
      </w:r>
      <w:r w:rsidR="00067D56">
        <w:t xml:space="preserve"> </w:t>
      </w:r>
      <w:r w:rsidRPr="004E1223">
        <w:t xml:space="preserve">FATF </w:t>
      </w:r>
      <w:r>
        <w:t>(</w:t>
      </w:r>
      <w:r w:rsidRPr="004E1223">
        <w:t>2011</w:t>
      </w:r>
      <w:r w:rsidR="00067D56">
        <w:t>a</w:t>
      </w:r>
      <w:r>
        <w:t xml:space="preserve">), </w:t>
      </w:r>
      <w:r w:rsidRPr="001840B0">
        <w:t>Executive Summary,</w:t>
      </w:r>
      <w:r>
        <w:t xml:space="preserve"> p. 6. </w:t>
      </w:r>
    </w:p>
  </w:footnote>
  <w:footnote w:id="9">
    <w:p w14:paraId="3DEE2C74" w14:textId="77777777" w:rsidR="006D4083" w:rsidRDefault="006D4083" w:rsidP="00975A83">
      <w:pPr>
        <w:pStyle w:val="FootnoteText"/>
      </w:pPr>
      <w:r w:rsidRPr="00D3465E">
        <w:rPr>
          <w:rStyle w:val="FootnoteReference"/>
        </w:rPr>
        <w:footnoteRef/>
      </w:r>
      <w:r>
        <w:t xml:space="preserve"> </w:t>
      </w:r>
      <w:r w:rsidRPr="001840B0">
        <w:t>Ibid.</w:t>
      </w:r>
    </w:p>
  </w:footnote>
  <w:footnote w:id="10">
    <w:p w14:paraId="752C37D4" w14:textId="7DAE6923" w:rsidR="006D4083" w:rsidRDefault="006D4083" w:rsidP="00975A83">
      <w:pPr>
        <w:pStyle w:val="FootnoteText"/>
      </w:pPr>
      <w:r>
        <w:rPr>
          <w:rStyle w:val="FootnoteReference"/>
        </w:rPr>
        <w:footnoteRef/>
      </w:r>
      <w:r>
        <w:t xml:space="preserve"> FIU France (2011), </w:t>
      </w:r>
      <w:r w:rsidR="00067D56">
        <w:t>‘</w:t>
      </w:r>
      <w:r w:rsidRPr="007308A8">
        <w:t xml:space="preserve">Annual </w:t>
      </w:r>
      <w:r w:rsidR="00067D56">
        <w:t>R</w:t>
      </w:r>
      <w:r w:rsidR="00067D56" w:rsidRPr="007308A8">
        <w:t>eport</w:t>
      </w:r>
      <w:r w:rsidR="00067D56">
        <w:t>’</w:t>
      </w:r>
      <w:r w:rsidRPr="007308A8">
        <w:t>,</w:t>
      </w:r>
      <w:r>
        <w:rPr>
          <w:i/>
        </w:rPr>
        <w:t xml:space="preserve"> </w:t>
      </w:r>
      <w:r>
        <w:t xml:space="preserve">p. 43. Available at: </w:t>
      </w:r>
      <w:r w:rsidRPr="0098394D">
        <w:t>http://www.economie.gouv.fr/files/rap%202011%20ang.pdf</w:t>
      </w:r>
      <w:r w:rsidR="00067D56">
        <w:t>.</w:t>
      </w:r>
    </w:p>
  </w:footnote>
  <w:footnote w:id="11">
    <w:p w14:paraId="3C66AA1D" w14:textId="74BE86CA" w:rsidR="006D4083" w:rsidRDefault="006D4083" w:rsidP="00975A83">
      <w:pPr>
        <w:pStyle w:val="FootnoteText"/>
      </w:pPr>
      <w:r>
        <w:rPr>
          <w:rStyle w:val="FootnoteReference"/>
        </w:rPr>
        <w:footnoteRef/>
      </w:r>
      <w:r>
        <w:t xml:space="preserve"> FATF (2010</w:t>
      </w:r>
      <w:r w:rsidR="000166E3">
        <w:t>e</w:t>
      </w:r>
      <w:r>
        <w:t>), p.</w:t>
      </w:r>
      <w:r w:rsidR="00067D56">
        <w:t xml:space="preserve"> </w:t>
      </w:r>
      <w:r>
        <w:t>103</w:t>
      </w:r>
      <w:r w:rsidR="00067D56">
        <w:t>.</w:t>
      </w:r>
    </w:p>
  </w:footnote>
  <w:footnote w:id="12">
    <w:p w14:paraId="4998FC2B" w14:textId="77777777" w:rsidR="006D4083" w:rsidRDefault="006D4083" w:rsidP="00975A83">
      <w:pPr>
        <w:pStyle w:val="FootnoteText"/>
      </w:pPr>
      <w:r>
        <w:rPr>
          <w:rStyle w:val="FootnoteReference"/>
        </w:rPr>
        <w:footnoteRef/>
      </w:r>
      <w:r>
        <w:t xml:space="preserve"> This will be done in</w:t>
      </w:r>
      <w:r w:rsidRPr="00CE0A10">
        <w:t xml:space="preserve"> accordance with Section 475 of the </w:t>
      </w:r>
      <w:r>
        <w:t xml:space="preserve">German </w:t>
      </w:r>
      <w:r w:rsidRPr="00CE0A10">
        <w:t>Code of Criminal Procedure</w:t>
      </w:r>
      <w:r>
        <w:t>.</w:t>
      </w:r>
    </w:p>
  </w:footnote>
  <w:footnote w:id="13">
    <w:p w14:paraId="0D0ECB1A" w14:textId="4C45E832" w:rsidR="006D4083" w:rsidRDefault="006D4083" w:rsidP="00975A83">
      <w:pPr>
        <w:pStyle w:val="FootnoteText"/>
      </w:pPr>
      <w:r>
        <w:rPr>
          <w:rStyle w:val="FootnoteReference"/>
        </w:rPr>
        <w:footnoteRef/>
      </w:r>
      <w:r>
        <w:t xml:space="preserve"> FIU Germany (</w:t>
      </w:r>
      <w:r w:rsidRPr="00963C0B">
        <w:t>2011</w:t>
      </w:r>
      <w:r>
        <w:t>)</w:t>
      </w:r>
      <w:r w:rsidR="00067D56">
        <w:t>,</w:t>
      </w:r>
      <w:r>
        <w:t xml:space="preserve"> </w:t>
      </w:r>
      <w:r w:rsidR="00067D56">
        <w:t>‘</w:t>
      </w:r>
      <w:r w:rsidRPr="007308A8">
        <w:t xml:space="preserve">Annual </w:t>
      </w:r>
      <w:r w:rsidR="00067D56">
        <w:t>R</w:t>
      </w:r>
      <w:r w:rsidR="00067D56" w:rsidRPr="007308A8">
        <w:t>eport</w:t>
      </w:r>
      <w:r w:rsidR="00067D56">
        <w:t>’</w:t>
      </w:r>
      <w:r w:rsidRPr="00067D56">
        <w:t>,</w:t>
      </w:r>
      <w:r w:rsidRPr="00963C0B">
        <w:t xml:space="preserve"> p</w:t>
      </w:r>
      <w:r>
        <w:t>.</w:t>
      </w:r>
      <w:r w:rsidRPr="00963C0B">
        <w:t xml:space="preserve"> 29</w:t>
      </w:r>
      <w:r w:rsidR="00067D56">
        <w:t>.</w:t>
      </w:r>
    </w:p>
  </w:footnote>
  <w:footnote w:id="14">
    <w:p w14:paraId="0B9250E2" w14:textId="3F70F89A" w:rsidR="006D4083" w:rsidRDefault="006D4083" w:rsidP="00975A83">
      <w:pPr>
        <w:pStyle w:val="FootnoteText"/>
      </w:pPr>
      <w:r>
        <w:rPr>
          <w:rStyle w:val="FootnoteReference"/>
        </w:rPr>
        <w:footnoteRef/>
      </w:r>
      <w:r>
        <w:t xml:space="preserve"> MONEYVAL (2010</w:t>
      </w:r>
      <w:r w:rsidR="00CF3646">
        <w:t>c</w:t>
      </w:r>
      <w:r>
        <w:t>), p</w:t>
      </w:r>
      <w:r w:rsidR="00AA38DA">
        <w:t>.</w:t>
      </w:r>
      <w:r>
        <w:t xml:space="preserve"> 53</w:t>
      </w:r>
      <w:r w:rsidR="00AA38DA">
        <w:t>.</w:t>
      </w:r>
    </w:p>
  </w:footnote>
  <w:footnote w:id="15">
    <w:p w14:paraId="07359691" w14:textId="08DDBC77" w:rsidR="006D4083" w:rsidRPr="002C6245" w:rsidRDefault="006D4083" w:rsidP="00975A83">
      <w:pPr>
        <w:pStyle w:val="FootnoteText"/>
      </w:pPr>
      <w:r w:rsidRPr="002C6245">
        <w:rPr>
          <w:rStyle w:val="FootnoteReference"/>
        </w:rPr>
        <w:footnoteRef/>
      </w:r>
      <w:r w:rsidRPr="002C6245">
        <w:t xml:space="preserve"> FIU Hungary (2011), </w:t>
      </w:r>
      <w:r w:rsidR="00CF3646">
        <w:t>‘</w:t>
      </w:r>
      <w:r w:rsidRPr="007308A8">
        <w:t xml:space="preserve">Bi-annual </w:t>
      </w:r>
      <w:r w:rsidR="00CF3646">
        <w:t>R</w:t>
      </w:r>
      <w:r w:rsidR="00CF3646" w:rsidRPr="007308A8">
        <w:t xml:space="preserve">eport </w:t>
      </w:r>
      <w:r w:rsidRPr="007308A8">
        <w:t xml:space="preserve">– First </w:t>
      </w:r>
      <w:r w:rsidR="00CF3646">
        <w:t>R</w:t>
      </w:r>
      <w:r w:rsidR="00CF3646" w:rsidRPr="007308A8">
        <w:t xml:space="preserve">eport </w:t>
      </w:r>
      <w:r w:rsidRPr="007308A8">
        <w:t>for 2011</w:t>
      </w:r>
      <w:r w:rsidR="00CF3646">
        <w:t>’</w:t>
      </w:r>
      <w:r w:rsidRPr="00CF3646">
        <w:t>,</w:t>
      </w:r>
      <w:r w:rsidRPr="002C6245">
        <w:t xml:space="preserve"> p</w:t>
      </w:r>
      <w:r w:rsidR="00AA38DA">
        <w:t>.</w:t>
      </w:r>
      <w:r w:rsidRPr="002C6245">
        <w:t xml:space="preserve"> 5 (translated from Hungarian)</w:t>
      </w:r>
      <w:r w:rsidR="00AA38DA">
        <w:t>.</w:t>
      </w:r>
    </w:p>
  </w:footnote>
  <w:footnote w:id="16">
    <w:p w14:paraId="2DDDEF73" w14:textId="06E32B4F" w:rsidR="006D4083" w:rsidRDefault="006D4083" w:rsidP="00975A83">
      <w:pPr>
        <w:pStyle w:val="FootnoteText"/>
      </w:pPr>
      <w:r w:rsidRPr="002C6245">
        <w:rPr>
          <w:rStyle w:val="FootnoteReference"/>
        </w:rPr>
        <w:footnoteRef/>
      </w:r>
      <w:r w:rsidRPr="002C6245">
        <w:t xml:space="preserve"> FIU Hungary (2009), </w:t>
      </w:r>
      <w:r w:rsidR="00CF3646">
        <w:t>‘</w:t>
      </w:r>
      <w:r w:rsidRPr="002C6245">
        <w:t xml:space="preserve">Bi-annual </w:t>
      </w:r>
      <w:r w:rsidR="00CF3646">
        <w:t>R</w:t>
      </w:r>
      <w:r w:rsidR="00CF3646" w:rsidRPr="002C6245">
        <w:t xml:space="preserve">eport </w:t>
      </w:r>
      <w:r w:rsidRPr="002C6245">
        <w:t xml:space="preserve">– Second </w:t>
      </w:r>
      <w:r w:rsidR="00CF3646">
        <w:t>R</w:t>
      </w:r>
      <w:r w:rsidR="00CF3646" w:rsidRPr="002C6245">
        <w:t xml:space="preserve">eport </w:t>
      </w:r>
      <w:r w:rsidRPr="002C6245">
        <w:t>for 2009</w:t>
      </w:r>
      <w:r w:rsidR="00CF3646">
        <w:t>’</w:t>
      </w:r>
      <w:r w:rsidRPr="002C6245">
        <w:t>, p</w:t>
      </w:r>
      <w:r w:rsidR="00AA38DA">
        <w:t>.</w:t>
      </w:r>
      <w:r w:rsidRPr="002C6245">
        <w:t xml:space="preserve"> 13</w:t>
      </w:r>
      <w:r w:rsidR="00AA38DA">
        <w:t>.</w:t>
      </w:r>
    </w:p>
  </w:footnote>
  <w:footnote w:id="17">
    <w:p w14:paraId="3637E027" w14:textId="540122BB" w:rsidR="006D4083" w:rsidRDefault="006D4083" w:rsidP="00975A83">
      <w:pPr>
        <w:pStyle w:val="FootnoteText"/>
      </w:pPr>
      <w:r w:rsidRPr="006C245A">
        <w:rPr>
          <w:rStyle w:val="FootnoteReference"/>
        </w:rPr>
        <w:footnoteRef/>
      </w:r>
      <w:r w:rsidRPr="006C245A">
        <w:t xml:space="preserve"> FIU Italy (2010), </w:t>
      </w:r>
      <w:r w:rsidR="00CF3646">
        <w:t>‘</w:t>
      </w:r>
      <w:r w:rsidRPr="007308A8">
        <w:t xml:space="preserve">Annual </w:t>
      </w:r>
      <w:r w:rsidR="00CF3646">
        <w:t>R</w:t>
      </w:r>
      <w:r w:rsidR="00CF3646" w:rsidRPr="007308A8">
        <w:t>eport</w:t>
      </w:r>
      <w:r w:rsidR="00CF3646">
        <w:t>’</w:t>
      </w:r>
      <w:r w:rsidRPr="00CF3646">
        <w:t>,</w:t>
      </w:r>
      <w:r w:rsidRPr="006C245A">
        <w:t xml:space="preserve"> p. 6.</w:t>
      </w:r>
    </w:p>
  </w:footnote>
  <w:footnote w:id="18">
    <w:p w14:paraId="189EF5B0" w14:textId="4A9E4024" w:rsidR="006D4083" w:rsidRDefault="006D4083" w:rsidP="00975A83">
      <w:pPr>
        <w:pStyle w:val="FootnoteText"/>
      </w:pPr>
      <w:r w:rsidRPr="006C245A">
        <w:rPr>
          <w:rStyle w:val="FootnoteReference"/>
        </w:rPr>
        <w:footnoteRef/>
      </w:r>
      <w:r w:rsidRPr="006C245A">
        <w:t xml:space="preserve"> Article 32 of the AML </w:t>
      </w:r>
      <w:r w:rsidR="00F567DD">
        <w:t>L</w:t>
      </w:r>
      <w:r w:rsidR="00F567DD" w:rsidRPr="006C245A">
        <w:t>aw</w:t>
      </w:r>
      <w:r w:rsidR="00F567DD">
        <w:t>.</w:t>
      </w:r>
    </w:p>
  </w:footnote>
  <w:footnote w:id="19">
    <w:p w14:paraId="25441949" w14:textId="52D2400A" w:rsidR="006D4083" w:rsidRDefault="006D4083" w:rsidP="00975A83">
      <w:pPr>
        <w:pStyle w:val="FootnoteText"/>
      </w:pPr>
      <w:r>
        <w:rPr>
          <w:rStyle w:val="FootnoteReference"/>
        </w:rPr>
        <w:footnoteRef/>
      </w:r>
      <w:r w:rsidR="00F567DD">
        <w:t xml:space="preserve"> </w:t>
      </w:r>
      <w:r w:rsidRPr="00C37BA4">
        <w:t>FATF</w:t>
      </w:r>
      <w:r>
        <w:t xml:space="preserve"> (2011</w:t>
      </w:r>
      <w:r w:rsidR="00E27748">
        <w:t>b</w:t>
      </w:r>
      <w:r>
        <w:t>)</w:t>
      </w:r>
      <w:r w:rsidRPr="00C37BA4">
        <w:t>, p. 89</w:t>
      </w:r>
      <w:r w:rsidR="00F567DD">
        <w:t>.</w:t>
      </w:r>
    </w:p>
  </w:footnote>
  <w:footnote w:id="20">
    <w:p w14:paraId="408ACFC6" w14:textId="66EFADB3" w:rsidR="006D4083" w:rsidRDefault="006D4083" w:rsidP="00975A83">
      <w:pPr>
        <w:pStyle w:val="FootnoteText"/>
      </w:pPr>
      <w:r>
        <w:rPr>
          <w:rStyle w:val="FootnoteReference"/>
        </w:rPr>
        <w:footnoteRef/>
      </w:r>
      <w:r>
        <w:t xml:space="preserve"> This dissemination is made under </w:t>
      </w:r>
      <w:r w:rsidRPr="00C37BA4">
        <w:t>Article 39f of the Data and Criminal Records Act</w:t>
      </w:r>
      <w:r>
        <w:t>.</w:t>
      </w:r>
    </w:p>
  </w:footnote>
  <w:footnote w:id="21">
    <w:p w14:paraId="2851B8FF" w14:textId="2DF959B6" w:rsidR="006D4083" w:rsidRDefault="006D4083" w:rsidP="00975A83">
      <w:pPr>
        <w:pStyle w:val="FootnoteText"/>
      </w:pPr>
      <w:r>
        <w:rPr>
          <w:rStyle w:val="FootnoteReference"/>
        </w:rPr>
        <w:footnoteRef/>
      </w:r>
      <w:r w:rsidR="00F567DD">
        <w:t xml:space="preserve"> </w:t>
      </w:r>
      <w:r w:rsidRPr="004B3DAF">
        <w:t>FATF (2011</w:t>
      </w:r>
      <w:r w:rsidR="00E27748">
        <w:t>b</w:t>
      </w:r>
      <w:r w:rsidRPr="004B3DAF">
        <w:t xml:space="preserve">), </w:t>
      </w:r>
      <w:r>
        <w:t>p</w:t>
      </w:r>
      <w:r w:rsidR="00F567DD">
        <w:t>p</w:t>
      </w:r>
      <w:r>
        <w:t>. 181</w:t>
      </w:r>
      <w:r w:rsidR="00F567DD">
        <w:t>–</w:t>
      </w:r>
      <w:r>
        <w:t>2</w:t>
      </w:r>
      <w:r w:rsidR="00F567DD">
        <w:t>.</w:t>
      </w:r>
    </w:p>
  </w:footnote>
  <w:footnote w:id="22">
    <w:p w14:paraId="6232CED9" w14:textId="2DF5FD82" w:rsidR="006D4083" w:rsidRDefault="006D4083" w:rsidP="00975A83">
      <w:pPr>
        <w:pStyle w:val="FootnoteText"/>
      </w:pPr>
      <w:r>
        <w:rPr>
          <w:rStyle w:val="FootnoteReference"/>
        </w:rPr>
        <w:footnoteRef/>
      </w:r>
      <w:r w:rsidRPr="00703BF0">
        <w:rPr>
          <w:i/>
        </w:rPr>
        <w:t xml:space="preserve"> </w:t>
      </w:r>
      <w:r w:rsidRPr="007308A8">
        <w:t>Ibid</w:t>
      </w:r>
      <w:r w:rsidRPr="00F567DD">
        <w:t>.</w:t>
      </w:r>
      <w:r w:rsidRPr="007308A8">
        <w:t>,</w:t>
      </w:r>
      <w:r>
        <w:t xml:space="preserve"> p. 9</w:t>
      </w:r>
      <w:r w:rsidRPr="00C37BA4">
        <w:t>9</w:t>
      </w:r>
      <w:r w:rsidR="00F567DD">
        <w:t>.</w:t>
      </w:r>
    </w:p>
  </w:footnote>
  <w:footnote w:id="23">
    <w:p w14:paraId="52364E39" w14:textId="77777777" w:rsidR="006D4083" w:rsidRDefault="006D4083" w:rsidP="00975A83">
      <w:pPr>
        <w:pStyle w:val="FootnoteText"/>
      </w:pPr>
      <w:r w:rsidRPr="006C245A">
        <w:rPr>
          <w:rStyle w:val="FootnoteReference"/>
        </w:rPr>
        <w:footnoteRef/>
      </w:r>
      <w:r w:rsidRPr="006C245A">
        <w:t xml:space="preserve"> This obligation is stipulated in Article 26, paragraph 2i of the 297/2008 Act.</w:t>
      </w:r>
    </w:p>
  </w:footnote>
  <w:footnote w:id="24">
    <w:p w14:paraId="0863B00F" w14:textId="51F36F1C" w:rsidR="006D4083" w:rsidRDefault="006D4083" w:rsidP="00975A83">
      <w:pPr>
        <w:pStyle w:val="FootnoteText"/>
      </w:pPr>
      <w:r>
        <w:rPr>
          <w:rStyle w:val="FootnoteReference"/>
        </w:rPr>
        <w:footnoteRef/>
      </w:r>
      <w:r>
        <w:t xml:space="preserve"> FIU Slovenia (2010), </w:t>
      </w:r>
      <w:r w:rsidR="00EB1C64">
        <w:t>‘</w:t>
      </w:r>
      <w:r w:rsidRPr="007308A8">
        <w:t xml:space="preserve">Annual </w:t>
      </w:r>
      <w:r w:rsidR="00EB1C64">
        <w:t>R</w:t>
      </w:r>
      <w:r w:rsidR="00EB1C64" w:rsidRPr="007308A8">
        <w:t>eport</w:t>
      </w:r>
      <w:r w:rsidR="00EB1C64">
        <w:t>’</w:t>
      </w:r>
      <w:r w:rsidRPr="007308A8">
        <w:t>,</w:t>
      </w:r>
      <w:r>
        <w:rPr>
          <w:i/>
        </w:rPr>
        <w:t xml:space="preserve"> </w:t>
      </w:r>
      <w:r>
        <w:t>p. 25</w:t>
      </w:r>
      <w:r w:rsidR="00EB1C64">
        <w:t>.</w:t>
      </w:r>
    </w:p>
  </w:footnote>
  <w:footnote w:id="25">
    <w:p w14:paraId="7365F0A2" w14:textId="5DAAFEC4" w:rsidR="006D4083" w:rsidRDefault="006D4083" w:rsidP="00975A83">
      <w:pPr>
        <w:pStyle w:val="FootnoteText"/>
      </w:pPr>
      <w:r>
        <w:rPr>
          <w:rStyle w:val="FootnoteReference"/>
        </w:rPr>
        <w:footnoteRef/>
      </w:r>
      <w:r>
        <w:t xml:space="preserve"> FIU Sweden (2009), </w:t>
      </w:r>
      <w:r w:rsidR="00EB1C64">
        <w:t>‘</w:t>
      </w:r>
      <w:r w:rsidRPr="007308A8">
        <w:t xml:space="preserve">Annual </w:t>
      </w:r>
      <w:r w:rsidR="00EB1C64">
        <w:t>R</w:t>
      </w:r>
      <w:r w:rsidR="00EB1C64" w:rsidRPr="007308A8">
        <w:t>eport</w:t>
      </w:r>
      <w:r w:rsidR="00EB1C64">
        <w:t>’</w:t>
      </w:r>
      <w:r w:rsidRPr="00EB1C64">
        <w:t>,</w:t>
      </w:r>
      <w:r>
        <w:t xml:space="preserve"> p</w:t>
      </w:r>
      <w:r w:rsidR="00EB1C64">
        <w:t>p</w:t>
      </w:r>
      <w:r>
        <w:t>. 5</w:t>
      </w:r>
      <w:r w:rsidR="00EB1C64">
        <w:t>–</w:t>
      </w:r>
      <w:r>
        <w:t>6</w:t>
      </w:r>
      <w:r w:rsidR="00EB1C64">
        <w:t>.</w:t>
      </w:r>
    </w:p>
  </w:footnote>
  <w:footnote w:id="26">
    <w:p w14:paraId="28CD781B" w14:textId="2D733D6B" w:rsidR="006D4083" w:rsidRDefault="006D4083" w:rsidP="00975A83">
      <w:pPr>
        <w:pStyle w:val="FootnoteText"/>
      </w:pPr>
      <w:r w:rsidRPr="002C6245">
        <w:rPr>
          <w:rStyle w:val="FootnoteReference"/>
        </w:rPr>
        <w:footnoteRef/>
      </w:r>
      <w:r w:rsidRPr="002C6245">
        <w:t xml:space="preserve"> FATF (2006</w:t>
      </w:r>
      <w:r w:rsidR="00EB1C64">
        <w:t>d</w:t>
      </w:r>
      <w:r w:rsidRPr="002C6245">
        <w:t>), p</w:t>
      </w:r>
      <w:r w:rsidR="00EB1C64">
        <w:t>p</w:t>
      </w:r>
      <w:r w:rsidRPr="002C6245">
        <w:t>. 52</w:t>
      </w:r>
      <w:r w:rsidR="00EB1C64">
        <w:t>–</w:t>
      </w:r>
      <w:r w:rsidRPr="002C6245">
        <w:t>3</w:t>
      </w:r>
      <w:r w:rsidR="00EB1C64">
        <w:t>.</w:t>
      </w:r>
    </w:p>
  </w:footnote>
  <w:footnote w:id="27">
    <w:p w14:paraId="6D856405" w14:textId="13C2B796" w:rsidR="006D4083" w:rsidRDefault="006D4083" w:rsidP="00975A83">
      <w:pPr>
        <w:pStyle w:val="FootnoteText"/>
      </w:pPr>
      <w:r>
        <w:rPr>
          <w:rStyle w:val="FootnoteReference"/>
        </w:rPr>
        <w:footnoteRef/>
      </w:r>
      <w:r w:rsidR="009B6112">
        <w:t xml:space="preserve"> </w:t>
      </w:r>
      <w:r w:rsidRPr="00480CBD">
        <w:t>SOCA</w:t>
      </w:r>
      <w:r>
        <w:t xml:space="preserve"> UK FIU (2011)</w:t>
      </w:r>
      <w:r w:rsidRPr="00480CBD">
        <w:t xml:space="preserve">, </w:t>
      </w:r>
      <w:r w:rsidR="009B6112">
        <w:t>‘</w:t>
      </w:r>
      <w:r w:rsidRPr="007308A8">
        <w:t>SARs Annual Report 2011</w:t>
      </w:r>
      <w:r w:rsidR="009B6112">
        <w:t>’</w:t>
      </w:r>
      <w:r w:rsidRPr="009B6112">
        <w:t>,</w:t>
      </w:r>
      <w:r w:rsidRPr="00480CBD">
        <w:t xml:space="preserve"> p. 21</w:t>
      </w:r>
      <w:r w:rsidR="009B6112">
        <w:t>.</w:t>
      </w:r>
    </w:p>
  </w:footnote>
  <w:footnote w:id="28">
    <w:p w14:paraId="315B0735" w14:textId="4E382EBA" w:rsidR="006D4083" w:rsidRDefault="006D4083" w:rsidP="00975A83">
      <w:pPr>
        <w:pStyle w:val="FootnoteText"/>
      </w:pPr>
      <w:r>
        <w:rPr>
          <w:rStyle w:val="FootnoteReference"/>
        </w:rPr>
        <w:footnoteRef/>
      </w:r>
      <w:r w:rsidR="009B6112">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Williams">
    <w15:presenceInfo w15:providerId="Windows Live" w15:userId="c253e0485040b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83"/>
    <w:rsid w:val="00005855"/>
    <w:rsid w:val="0001117B"/>
    <w:rsid w:val="000166E3"/>
    <w:rsid w:val="000408DE"/>
    <w:rsid w:val="00067D56"/>
    <w:rsid w:val="000A4C8F"/>
    <w:rsid w:val="00105938"/>
    <w:rsid w:val="001E1249"/>
    <w:rsid w:val="00235CA2"/>
    <w:rsid w:val="003D7516"/>
    <w:rsid w:val="004167B9"/>
    <w:rsid w:val="0045124B"/>
    <w:rsid w:val="004814E6"/>
    <w:rsid w:val="005628F1"/>
    <w:rsid w:val="00565DC8"/>
    <w:rsid w:val="005C2CC6"/>
    <w:rsid w:val="006168D5"/>
    <w:rsid w:val="00624B25"/>
    <w:rsid w:val="006C2AB5"/>
    <w:rsid w:val="006D4083"/>
    <w:rsid w:val="00707F53"/>
    <w:rsid w:val="0071734C"/>
    <w:rsid w:val="007308A8"/>
    <w:rsid w:val="007F0FF7"/>
    <w:rsid w:val="007F1CB7"/>
    <w:rsid w:val="0091450C"/>
    <w:rsid w:val="009439CC"/>
    <w:rsid w:val="00975A83"/>
    <w:rsid w:val="009961D1"/>
    <w:rsid w:val="009A75D1"/>
    <w:rsid w:val="009B6112"/>
    <w:rsid w:val="00A24426"/>
    <w:rsid w:val="00A30667"/>
    <w:rsid w:val="00A6771C"/>
    <w:rsid w:val="00AA38DA"/>
    <w:rsid w:val="00AD4869"/>
    <w:rsid w:val="00AD77DD"/>
    <w:rsid w:val="00B056C4"/>
    <w:rsid w:val="00B13A42"/>
    <w:rsid w:val="00B15933"/>
    <w:rsid w:val="00B20293"/>
    <w:rsid w:val="00B503F5"/>
    <w:rsid w:val="00B731A8"/>
    <w:rsid w:val="00BC0D60"/>
    <w:rsid w:val="00BE54E9"/>
    <w:rsid w:val="00C729E9"/>
    <w:rsid w:val="00C96473"/>
    <w:rsid w:val="00C971D1"/>
    <w:rsid w:val="00CA392F"/>
    <w:rsid w:val="00CF246D"/>
    <w:rsid w:val="00CF3646"/>
    <w:rsid w:val="00D64D47"/>
    <w:rsid w:val="00DD5A65"/>
    <w:rsid w:val="00E27748"/>
    <w:rsid w:val="00EB1C64"/>
    <w:rsid w:val="00F034EA"/>
    <w:rsid w:val="00F122AF"/>
    <w:rsid w:val="00F355C6"/>
    <w:rsid w:val="00F42D7E"/>
    <w:rsid w:val="00F567DD"/>
    <w:rsid w:val="00F8033C"/>
    <w:rsid w:val="00F90860"/>
    <w:rsid w:val="00FB577A"/>
    <w:rsid w:val="00FE2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D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4083"/>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975A83"/>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6D4083"/>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975A83"/>
    <w:rPr>
      <w:rFonts w:ascii="Calibri" w:eastAsia="Calibri" w:hAnsi="Calibri" w:cs="Times New Roman"/>
      <w:sz w:val="18"/>
      <w:szCs w:val="18"/>
      <w:lang w:val="en-US" w:eastAsia="zh-CN"/>
    </w:rPr>
  </w:style>
  <w:style w:type="character" w:styleId="FootnoteReference">
    <w:name w:val="footnote reference"/>
    <w:aliases w:val="fr"/>
    <w:uiPriority w:val="99"/>
    <w:qFormat/>
    <w:rsid w:val="006D4083"/>
    <w:rPr>
      <w:vertAlign w:val="superscript"/>
    </w:rPr>
  </w:style>
  <w:style w:type="paragraph" w:customStyle="1" w:styleId="HeaderEco">
    <w:name w:val="Header Eco"/>
    <w:basedOn w:val="Heading2"/>
    <w:link w:val="HeaderEcoChar"/>
    <w:qFormat/>
    <w:rsid w:val="006D4083"/>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6D4083"/>
    <w:rPr>
      <w:rFonts w:ascii="Calibri" w:eastAsiaTheme="majorEastAsia" w:hAnsi="Calibri" w:cs="Calibri"/>
      <w:b/>
      <w:iCs/>
      <w:lang w:val="en-GB" w:eastAsia="zh-CN"/>
    </w:rPr>
  </w:style>
  <w:style w:type="paragraph" w:styleId="BalloonText">
    <w:name w:val="Balloon Text"/>
    <w:basedOn w:val="Normal"/>
    <w:link w:val="BalloonTextChar"/>
    <w:uiPriority w:val="99"/>
    <w:semiHidden/>
    <w:unhideWhenUsed/>
    <w:rsid w:val="0099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D1"/>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5C2CC6"/>
    <w:rPr>
      <w:sz w:val="16"/>
      <w:szCs w:val="16"/>
    </w:rPr>
  </w:style>
  <w:style w:type="paragraph" w:styleId="CommentText">
    <w:name w:val="annotation text"/>
    <w:basedOn w:val="Normal"/>
    <w:link w:val="CommentTextChar"/>
    <w:uiPriority w:val="99"/>
    <w:semiHidden/>
    <w:unhideWhenUsed/>
    <w:rsid w:val="005C2CC6"/>
    <w:rPr>
      <w:szCs w:val="20"/>
    </w:rPr>
  </w:style>
  <w:style w:type="character" w:customStyle="1" w:styleId="CommentTextChar">
    <w:name w:val="Comment Text Char"/>
    <w:basedOn w:val="DefaultParagraphFont"/>
    <w:link w:val="CommentText"/>
    <w:uiPriority w:val="99"/>
    <w:semiHidden/>
    <w:rsid w:val="005C2CC6"/>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C2CC6"/>
    <w:rPr>
      <w:b/>
      <w:bCs/>
    </w:rPr>
  </w:style>
  <w:style w:type="character" w:customStyle="1" w:styleId="CommentSubjectChar">
    <w:name w:val="Comment Subject Char"/>
    <w:basedOn w:val="CommentTextChar"/>
    <w:link w:val="CommentSubject"/>
    <w:uiPriority w:val="99"/>
    <w:semiHidden/>
    <w:rsid w:val="005C2CC6"/>
    <w:rPr>
      <w:rFonts w:ascii="Verdana" w:eastAsia="SimSun" w:hAnsi="Verdana" w:cs="Times New Roman"/>
      <w:b/>
      <w:bCs/>
      <w:sz w:val="20"/>
      <w:szCs w:val="20"/>
      <w:lang w:val="en-GB" w:eastAsia="zh-CN"/>
    </w:rPr>
  </w:style>
  <w:style w:type="paragraph" w:styleId="Revision">
    <w:name w:val="Revision"/>
    <w:hidden/>
    <w:uiPriority w:val="99"/>
    <w:semiHidden/>
    <w:rsid w:val="003D7516"/>
    <w:pPr>
      <w:spacing w:after="0" w:line="240" w:lineRule="auto"/>
    </w:pPr>
    <w:rPr>
      <w:rFonts w:ascii="Verdana" w:eastAsia="SimSun" w:hAnsi="Verdana" w:cs="Times New Roman"/>
      <w:sz w:val="20"/>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4083"/>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975A83"/>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6D4083"/>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975A83"/>
    <w:rPr>
      <w:rFonts w:ascii="Calibri" w:eastAsia="Calibri" w:hAnsi="Calibri" w:cs="Times New Roman"/>
      <w:sz w:val="18"/>
      <w:szCs w:val="18"/>
      <w:lang w:val="en-US" w:eastAsia="zh-CN"/>
    </w:rPr>
  </w:style>
  <w:style w:type="character" w:styleId="FootnoteReference">
    <w:name w:val="footnote reference"/>
    <w:aliases w:val="fr"/>
    <w:uiPriority w:val="99"/>
    <w:qFormat/>
    <w:rsid w:val="006D4083"/>
    <w:rPr>
      <w:vertAlign w:val="superscript"/>
    </w:rPr>
  </w:style>
  <w:style w:type="paragraph" w:customStyle="1" w:styleId="HeaderEco">
    <w:name w:val="Header Eco"/>
    <w:basedOn w:val="Heading2"/>
    <w:link w:val="HeaderEcoChar"/>
    <w:qFormat/>
    <w:rsid w:val="006D4083"/>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6D4083"/>
    <w:rPr>
      <w:rFonts w:ascii="Calibri" w:eastAsiaTheme="majorEastAsia" w:hAnsi="Calibri" w:cs="Calibri"/>
      <w:b/>
      <w:iCs/>
      <w:lang w:val="en-GB" w:eastAsia="zh-CN"/>
    </w:rPr>
  </w:style>
  <w:style w:type="paragraph" w:styleId="BalloonText">
    <w:name w:val="Balloon Text"/>
    <w:basedOn w:val="Normal"/>
    <w:link w:val="BalloonTextChar"/>
    <w:uiPriority w:val="99"/>
    <w:semiHidden/>
    <w:unhideWhenUsed/>
    <w:rsid w:val="0099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D1"/>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5C2CC6"/>
    <w:rPr>
      <w:sz w:val="16"/>
      <w:szCs w:val="16"/>
    </w:rPr>
  </w:style>
  <w:style w:type="paragraph" w:styleId="CommentText">
    <w:name w:val="annotation text"/>
    <w:basedOn w:val="Normal"/>
    <w:link w:val="CommentTextChar"/>
    <w:uiPriority w:val="99"/>
    <w:semiHidden/>
    <w:unhideWhenUsed/>
    <w:rsid w:val="005C2CC6"/>
    <w:rPr>
      <w:szCs w:val="20"/>
    </w:rPr>
  </w:style>
  <w:style w:type="character" w:customStyle="1" w:styleId="CommentTextChar">
    <w:name w:val="Comment Text Char"/>
    <w:basedOn w:val="DefaultParagraphFont"/>
    <w:link w:val="CommentText"/>
    <w:uiPriority w:val="99"/>
    <w:semiHidden/>
    <w:rsid w:val="005C2CC6"/>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C2CC6"/>
    <w:rPr>
      <w:b/>
      <w:bCs/>
    </w:rPr>
  </w:style>
  <w:style w:type="character" w:customStyle="1" w:styleId="CommentSubjectChar">
    <w:name w:val="Comment Subject Char"/>
    <w:basedOn w:val="CommentTextChar"/>
    <w:link w:val="CommentSubject"/>
    <w:uiPriority w:val="99"/>
    <w:semiHidden/>
    <w:rsid w:val="005C2CC6"/>
    <w:rPr>
      <w:rFonts w:ascii="Verdana" w:eastAsia="SimSun" w:hAnsi="Verdana" w:cs="Times New Roman"/>
      <w:b/>
      <w:bCs/>
      <w:sz w:val="20"/>
      <w:szCs w:val="20"/>
      <w:lang w:val="en-GB" w:eastAsia="zh-CN"/>
    </w:rPr>
  </w:style>
  <w:style w:type="paragraph" w:styleId="Revision">
    <w:name w:val="Revision"/>
    <w:hidden/>
    <w:uiPriority w:val="99"/>
    <w:semiHidden/>
    <w:rsid w:val="003D7516"/>
    <w:pPr>
      <w:spacing w:after="0" w:line="240" w:lineRule="auto"/>
    </w:pPr>
    <w:rPr>
      <w:rFonts w:ascii="Verdana" w:eastAsia="SimSun" w:hAnsi="Verdana" w:cs="Times New Roman"/>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68A6-FA7F-F549-BAEC-80C0FF1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3773</Words>
  <Characters>21512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B.B. van (Bas)</dc:creator>
  <cp:lastModifiedBy>Jane Bayliss</cp:lastModifiedBy>
  <cp:revision>2</cp:revision>
  <dcterms:created xsi:type="dcterms:W3CDTF">2013-12-02T11:40:00Z</dcterms:created>
  <dcterms:modified xsi:type="dcterms:W3CDTF">2013-12-02T11:40:00Z</dcterms:modified>
</cp:coreProperties>
</file>